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78D7F">
      <w:pPr>
        <w:pStyle w:val="120"/>
        <w:framePr w:wrap="around"/>
        <w:rPr>
          <w:rFonts w:hint="eastAsia" w:ascii="黑体" w:hAnsi="黑体" w:eastAsia="黑体" w:cs="黑体"/>
          <w:color w:val="auto"/>
          <w:lang w:val="en-US" w:eastAsia="zh-CN"/>
        </w:rPr>
      </w:pPr>
      <w:r>
        <w:rPr>
          <w:rFonts w:hint="eastAsia" w:ascii="黑体" w:hAnsi="黑体" w:eastAsia="黑体" w:cs="黑体"/>
          <w:color w:val="auto"/>
        </w:rPr>
        <w:t>ICS 03.120.20</w:t>
      </w:r>
    </w:p>
    <w:p w14:paraId="0DB76C40">
      <w:pPr>
        <w:pStyle w:val="120"/>
        <w:framePr w:wrap="around"/>
        <w:rPr>
          <w:rFonts w:hint="eastAsia" w:ascii="黑体" w:hAnsi="黑体" w:eastAsia="黑体" w:cs="黑体"/>
          <w:color w:val="auto"/>
          <w:lang w:val="en-US" w:eastAsia="zh-CN"/>
        </w:rPr>
      </w:pPr>
      <w:r>
        <w:rPr>
          <w:rFonts w:hint="eastAsia" w:ascii="黑体" w:hAnsi="黑体" w:eastAsia="黑体" w:cs="黑体"/>
          <w:color w:val="auto"/>
        </w:rPr>
        <w:t xml:space="preserve">CCS </w:t>
      </w:r>
      <w:r>
        <w:rPr>
          <w:rFonts w:hint="eastAsia" w:ascii="黑体" w:hAnsi="黑体" w:eastAsia="黑体" w:cs="黑体"/>
          <w:color w:val="auto"/>
          <w:lang w:val="en-US" w:eastAsia="zh-CN"/>
        </w:rPr>
        <w:t>A 00</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03778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6E73047">
            <w:pPr>
              <w:pStyle w:val="120"/>
              <w:framePr w:wrap="around"/>
              <w:rPr>
                <w:color w:val="auto"/>
              </w:rPr>
            </w:pPr>
            <w:r>
              <w:rPr>
                <w:color w:val="auto"/>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iu&#10;L+zVAAAABwEAAA8AAAAAAAAAAQAgAAAAIgAAAGRycy9kb3ducmV2LnhtbFBLAQIUABQAAAAIAIdO&#10;4kCbSbXqtAEAAHUDAAAOAAAAAAAAAAEAIAAAACQBAABkcnMvZTJvRG9jLnhtbFBLBQYAAAAABgAG&#10;AFkBAABKBQAAAAA=&#10;">
                      <v:fill on="t" focussize="0,0"/>
                      <v:stroke on="f"/>
                      <v:imagedata o:title=""/>
                      <o:lock v:ext="edit" aspectratio="f"/>
                    </v:rect>
                  </w:pict>
                </mc:Fallback>
              </mc:AlternateContent>
            </w:r>
          </w:p>
        </w:tc>
      </w:tr>
    </w:tbl>
    <w:p w14:paraId="6BDAC7CD">
      <w:pPr>
        <w:pStyle w:val="106"/>
        <w:framePr w:wrap="around"/>
        <w:rPr>
          <w:rFonts w:hint="default" w:eastAsia="宋体"/>
          <w:color w:val="auto"/>
          <w:lang w:val="en-US" w:eastAsia="zh-CN"/>
        </w:rPr>
      </w:pPr>
      <w:r>
        <w:rPr>
          <w:rFonts w:hint="eastAsia" w:ascii="黑体" w:hAnsi="黑体" w:eastAsia="黑体" w:cs="黑体"/>
          <w:spacing w:val="0"/>
          <w:kern w:val="2"/>
          <w:sz w:val="51"/>
          <w:szCs w:val="51"/>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-449580</wp:posOffset>
                </wp:positionH>
                <wp:positionV relativeFrom="paragraph">
                  <wp:posOffset>-180975</wp:posOffset>
                </wp:positionV>
                <wp:extent cx="4497705" cy="88265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4497705" cy="882650"/>
                        </a:xfrm>
                        <a:prstGeom prst="rect">
                          <a:avLst/>
                        </a:prstGeom>
                        <a:noFill/>
                        <a:ln w="6350">
                          <a:noFill/>
                        </a:ln>
                      </wps:spPr>
                      <wps:txbx>
                        <w:txbxContent>
                          <w:p w14:paraId="4641017C">
                            <w:pPr>
                              <w:jc w:val="right"/>
                              <w:rPr>
                                <w:rFonts w:ascii="Times New Roman" w:hAnsi="Times New Roman" w:cs="Times New Roman"/>
                                <w:sz w:val="84"/>
                                <w:szCs w:val="84"/>
                              </w:rPr>
                            </w:pPr>
                            <w:r>
                              <w:drawing>
                                <wp:inline distT="0" distB="0" distL="114300" distR="114300">
                                  <wp:extent cx="1028700" cy="466725"/>
                                  <wp:effectExtent l="0" t="0" r="0" b="9525"/>
                                  <wp:docPr id="12" name="图片 5"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图标 2000"/>
                                          <pic:cNvPicPr>
                                            <a:picLocks noChangeAspect="1"/>
                                          </pic:cNvPicPr>
                                        </pic:nvPicPr>
                                        <pic:blipFill>
                                          <a:blip r:embed="rId6"/>
                                          <a:stretch>
                                            <a:fillRect/>
                                          </a:stretch>
                                        </pic:blipFill>
                                        <pic:spPr>
                                          <a:xfrm>
                                            <a:off x="0" y="0"/>
                                            <a:ext cx="1028700" cy="466725"/>
                                          </a:xfrm>
                                          <a:prstGeom prst="rect">
                                            <a:avLst/>
                                          </a:prstGeom>
                                          <a:noFill/>
                                          <a:ln>
                                            <a:noFill/>
                                          </a:ln>
                                        </pic:spPr>
                                      </pic:pic>
                                    </a:graphicData>
                                  </a:graphic>
                                </wp:inline>
                              </w:drawing>
                            </w:r>
                            <w:r>
                              <w:rPr>
                                <w:rFonts w:ascii="Times New Roman" w:hAnsi="Times New Roman" w:cs="Times New Roman"/>
                                <w:b/>
                                <w:bCs/>
                                <w:sz w:val="112"/>
                                <w:szCs w:val="112"/>
                              </w:rPr>
                              <w:t>4419</w:t>
                            </w:r>
                          </w:p>
                        </w:txbxContent>
                      </wps:txbx>
                      <wps:bodyPr lIns="0" tIns="0" rIns="0" bIns="0" upright="1"/>
                    </wps:wsp>
                  </a:graphicData>
                </a:graphic>
              </wp:anchor>
            </w:drawing>
          </mc:Choice>
          <mc:Fallback>
            <w:pict>
              <v:shape id="_x0000_s1026" o:spid="_x0000_s1026" o:spt="202" type="#_x0000_t202" style="position:absolute;left:0pt;margin-left:-35.4pt;margin-top:-14.25pt;height:69.5pt;width:354.15pt;z-index:251665408;mso-width-relative:page;mso-height-relative:page;" filled="f" stroked="f" coordsize="21600,21600" o:gfxdata="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DKBW92AAAAAsBAAAPAAAAAAAAAAEAIAAAACIAAABkcnMvZG93bnJl&#10;di54bWxQSwECFAAUAAAACACHTuJARzwJvcQBAAB9AwAADgAAAAAAAAABACAAAAAnAQAAZHJzL2Uy&#10;b0RvYy54bWxQSwUGAAAAAAYABgBZAQAAXQUAAAAA&#10;">
                <v:fill on="f" focussize="0,0"/>
                <v:stroke on="f" weight="0.5pt"/>
                <v:imagedata o:title=""/>
                <o:lock v:ext="edit" aspectratio="f"/>
                <v:textbox inset="0mm,0mm,0mm,0mm">
                  <w:txbxContent>
                    <w:p w14:paraId="4641017C">
                      <w:pPr>
                        <w:jc w:val="right"/>
                        <w:rPr>
                          <w:rFonts w:ascii="Times New Roman" w:hAnsi="Times New Roman" w:cs="Times New Roman"/>
                          <w:sz w:val="84"/>
                          <w:szCs w:val="84"/>
                        </w:rPr>
                      </w:pPr>
                      <w:r>
                        <w:drawing>
                          <wp:inline distT="0" distB="0" distL="114300" distR="114300">
                            <wp:extent cx="1028700" cy="466725"/>
                            <wp:effectExtent l="0" t="0" r="0" b="9525"/>
                            <wp:docPr id="12" name="图片 5"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图标 2000"/>
                                    <pic:cNvPicPr>
                                      <a:picLocks noChangeAspect="1"/>
                                    </pic:cNvPicPr>
                                  </pic:nvPicPr>
                                  <pic:blipFill>
                                    <a:blip r:embed="rId6"/>
                                    <a:stretch>
                                      <a:fillRect/>
                                    </a:stretch>
                                  </pic:blipFill>
                                  <pic:spPr>
                                    <a:xfrm>
                                      <a:off x="0" y="0"/>
                                      <a:ext cx="1028700" cy="466725"/>
                                    </a:xfrm>
                                    <a:prstGeom prst="rect">
                                      <a:avLst/>
                                    </a:prstGeom>
                                    <a:noFill/>
                                    <a:ln>
                                      <a:noFill/>
                                    </a:ln>
                                  </pic:spPr>
                                </pic:pic>
                              </a:graphicData>
                            </a:graphic>
                          </wp:inline>
                        </w:drawing>
                      </w:r>
                      <w:r>
                        <w:rPr>
                          <w:rFonts w:ascii="Times New Roman" w:hAnsi="Times New Roman" w:cs="Times New Roman"/>
                          <w:b/>
                          <w:bCs/>
                          <w:sz w:val="112"/>
                          <w:szCs w:val="112"/>
                        </w:rPr>
                        <w:t>4419</w:t>
                      </w:r>
                    </w:p>
                  </w:txbxContent>
                </v:textbox>
              </v:shape>
            </w:pict>
          </mc:Fallback>
        </mc:AlternateContent>
      </w:r>
    </w:p>
    <w:p w14:paraId="416FB7E1">
      <w:pPr>
        <w:pStyle w:val="107"/>
        <w:framePr w:wrap="around"/>
        <w:rPr>
          <w:rFonts w:ascii="Times New Roman" w:hAnsi="Times New Roman"/>
          <w:color w:val="auto"/>
        </w:rPr>
      </w:pPr>
      <w:r>
        <w:rPr>
          <w:rFonts w:hint="eastAsia"/>
          <w:color w:val="auto"/>
          <w:lang w:val="en-US" w:eastAsia="zh-CN"/>
        </w:rPr>
        <w:t>东莞市地方</w:t>
      </w:r>
      <w:r>
        <w:rPr>
          <w:rFonts w:hint="eastAsia"/>
          <w:color w:val="auto"/>
        </w:rPr>
        <w:t>标</w:t>
      </w:r>
      <w:r>
        <w:rPr>
          <w:rFonts w:hint="eastAsia" w:ascii="Times New Roman" w:hAnsi="Times New Roman"/>
          <w:color w:val="auto"/>
        </w:rPr>
        <w:t>准</w:t>
      </w:r>
    </w:p>
    <w:p w14:paraId="03938560">
      <w:pPr>
        <w:pStyle w:val="44"/>
        <w:framePr w:wrap="around"/>
        <w:rPr>
          <w:rFonts w:hint="eastAsia" w:hAnsi="黑体" w:eastAsia="黑体"/>
          <w:color w:val="auto"/>
          <w:lang w:eastAsia="zh-CN"/>
        </w:rPr>
      </w:pPr>
      <w:r>
        <w:rPr>
          <w:rFonts w:hint="eastAsia" w:hAnsi="黑体"/>
          <w:color w:val="auto"/>
          <w:lang w:val="en-US" w:eastAsia="zh-CN"/>
        </w:rPr>
        <w:t>DB4419/T</w:t>
      </w:r>
      <w:r>
        <w:rPr>
          <w:rFonts w:hAnsi="黑体"/>
          <w:color w:val="auto"/>
        </w:rPr>
        <w:t xml:space="preserve"> </w:t>
      </w:r>
      <w:r>
        <w:rPr>
          <w:rFonts w:hint="eastAsia" w:hAnsi="黑体"/>
          <w:color w:val="auto"/>
          <w:lang w:val="en-US" w:eastAsia="zh-CN"/>
        </w:rPr>
        <w:t>XX</w:t>
      </w:r>
      <w:r>
        <w:rPr>
          <w:rFonts w:hAnsi="黑体"/>
          <w:color w:val="auto"/>
        </w:rPr>
        <w:t>—</w:t>
      </w:r>
      <w:r>
        <w:rPr>
          <w:rFonts w:hint="eastAsia" w:hAnsi="黑体"/>
          <w:color w:val="auto"/>
        </w:rPr>
        <w:t>202</w:t>
      </w:r>
      <w:r>
        <w:rPr>
          <w:rFonts w:hint="eastAsia" w:hAnsi="黑体"/>
          <w:color w:val="auto"/>
          <w:lang w:val="en-US" w:eastAsia="zh-CN"/>
        </w:rPr>
        <w:t>5</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888B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C2C6C00">
            <w:pPr>
              <w:pStyle w:val="73"/>
              <w:framePr w:wrap="around"/>
              <w:rPr>
                <w:color w:val="auto"/>
              </w:rPr>
            </w:pPr>
            <w:bookmarkStart w:id="0" w:name="DT"/>
            <w:r>
              <w:rPr>
                <w:color w:val="auto"/>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5g8svWAAAA&#10;CAEAAA8AAAAAAAAAAQAgAAAAIgAAAGRycy9kb3ducmV2LnhtbFBLAQIUABQAAAAIAIdO4kD1RjTn&#10;rQEAAHUDAAAOAAAAAAAAAAEAIAAAACUBAABkcnMvZTJvRG9jLnhtbFBLBQYAAAAABgAGAFkBAABE&#10;BQAAAAA=&#10;">
                      <v:fill on="t" focussize="0,0"/>
                      <v:stroke on="f"/>
                      <v:imagedata o:title=""/>
                      <o:lock v:ext="edit" aspectratio="f"/>
                    </v:rect>
                  </w:pict>
                </mc:Fallback>
              </mc:AlternateContent>
            </w:r>
            <w:bookmarkEnd w:id="0"/>
          </w:p>
        </w:tc>
      </w:tr>
    </w:tbl>
    <w:p w14:paraId="7A910413">
      <w:pPr>
        <w:pStyle w:val="44"/>
        <w:framePr w:wrap="around"/>
        <w:rPr>
          <w:rFonts w:hAnsi="黑体"/>
          <w:color w:val="auto"/>
        </w:rPr>
      </w:pPr>
    </w:p>
    <w:p w14:paraId="4F5F2270">
      <w:pPr>
        <w:pStyle w:val="44"/>
        <w:framePr w:wrap="around"/>
        <w:rPr>
          <w:rFonts w:hAnsi="黑体"/>
          <w:color w:val="auto"/>
        </w:rPr>
      </w:pPr>
    </w:p>
    <w:p w14:paraId="2AB2F442">
      <w:pPr>
        <w:pStyle w:val="75"/>
        <w:framePr w:wrap="around"/>
        <w:rPr>
          <w:rFonts w:hint="default" w:eastAsia="黑体"/>
          <w:color w:val="auto"/>
          <w:lang w:val="en-US" w:eastAsia="zh-CN"/>
        </w:rPr>
      </w:pPr>
      <w:r>
        <w:rPr>
          <w:rFonts w:hint="eastAsia"/>
          <w:color w:val="auto"/>
          <w:lang w:val="en-US" w:eastAsia="zh-CN"/>
        </w:rPr>
        <w:t>东莞优品  企业评价规范</w:t>
      </w:r>
    </w:p>
    <w:p w14:paraId="3704A483">
      <w:pPr>
        <w:pStyle w:val="77"/>
        <w:framePr w:wrap="around"/>
        <w:rPr>
          <w:rFonts w:hint="eastAsia" w:ascii="黑体" w:hAnsi="黑体" w:eastAsia="黑体" w:cs="黑体"/>
          <w:b/>
          <w:bCs/>
          <w:color w:val="auto"/>
          <w:sz w:val="24"/>
          <w:szCs w:val="24"/>
          <w:lang w:val="en-US" w:eastAsia="zh-CN"/>
        </w:rPr>
      </w:pPr>
      <w:r>
        <w:rPr>
          <w:rFonts w:hint="eastAsia" w:ascii="黑体" w:hAnsi="黑体" w:eastAsia="黑体" w:cs="黑体"/>
          <w:color w:val="auto"/>
          <w:lang w:val="en-US" w:eastAsia="zh-CN"/>
        </w:rPr>
        <w:t>Excellent products of Dongguan</w:t>
      </w:r>
      <w:r>
        <w:rPr>
          <w:rFonts w:hAnsi="黑体"/>
          <w:color w:val="auto"/>
        </w:rPr>
        <w:t>—</w:t>
      </w:r>
      <w:r>
        <w:rPr>
          <w:rFonts w:hint="eastAsia" w:ascii="黑体" w:hAnsi="黑体" w:eastAsia="黑体" w:cs="黑体"/>
          <w:color w:val="auto"/>
        </w:rPr>
        <w:t>evaluation</w:t>
      </w:r>
      <w:r>
        <w:rPr>
          <w:rFonts w:hint="eastAsia" w:ascii="黑体" w:hAnsi="黑体" w:eastAsia="黑体" w:cs="黑体"/>
          <w:color w:val="auto"/>
          <w:lang w:val="en-US" w:eastAsia="zh-CN"/>
        </w:rPr>
        <w:t xml:space="preserve"> specifications for </w:t>
      </w:r>
      <w:r>
        <w:rPr>
          <w:rFonts w:hint="eastAsia" w:ascii="黑体" w:hAnsi="黑体" w:eastAsia="黑体" w:cs="黑体"/>
          <w:color w:val="auto"/>
        </w:rPr>
        <w:t>enterprise</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F54F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1A2E16B8">
            <w:pPr>
              <w:pStyle w:val="78"/>
              <w:framePr w:wrap="around"/>
              <w:rPr>
                <w:color w:val="auto"/>
              </w:rPr>
            </w:pPr>
            <w:r>
              <w:rPr>
                <w:color w:val="auto"/>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AkXwNL&#10;rgEAAHUDAAAOAAAAAAAAAAEAIAAAACQBAABkcnMvZTJvRG9jLnhtbFBLBQYAAAAABgAGAFkBAABE&#10;BQAAAAA=&#10;">
                      <v:fill on="t" focussize="0,0"/>
                      <v:stroke on="f"/>
                      <v:imagedata o:title=""/>
                      <o:lock v:ext="edit" aspectratio="f"/>
                      <w10:anchorlock/>
                    </v:rect>
                  </w:pict>
                </mc:Fallback>
              </mc:AlternateContent>
            </w:r>
            <w:r>
              <w:rPr>
                <w:color w:val="auto"/>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Phi+XWAAAA&#10;CQEAAA8AAAAAAAAAAQAgAAAAIgAAAGRycy9kb3ducmV2LnhtbFBLAQIUABQAAAAIAIdO4kDRwSXS&#10;rQEAAHUDAAAOAAAAAAAAAAEAIAAAACUBAABkcnMvZTJvRG9jLnhtbFBLBQYAAAAABgAGAFkBAABE&#10;BQAAAAA=&#10;">
                      <v:fill on="t" focussize="0,0"/>
                      <v:stroke on="f"/>
                      <v:imagedata o:title=""/>
                      <o:lock v:ext="edit" aspectratio="f"/>
                    </v:rect>
                  </w:pict>
                </mc:Fallback>
              </mc:AlternateContent>
            </w:r>
          </w:p>
        </w:tc>
      </w:tr>
      <w:tr w14:paraId="33948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6BB3549C">
            <w:pPr>
              <w:pStyle w:val="79"/>
              <w:framePr w:wrap="around"/>
              <w:rPr>
                <w:rFonts w:hint="default" w:eastAsia="宋体"/>
                <w:color w:val="auto"/>
                <w:lang w:val="en-US" w:eastAsia="zh-CN"/>
              </w:rPr>
            </w:pPr>
            <w:r>
              <w:rPr>
                <w:rFonts w:hint="eastAsia"/>
                <w:color w:val="auto"/>
                <w:lang w:val="en-US" w:eastAsia="zh-CN"/>
              </w:rPr>
              <w:t>（征求意见稿）</w:t>
            </w:r>
          </w:p>
        </w:tc>
      </w:tr>
    </w:tbl>
    <w:p w14:paraId="3C43A20A">
      <w:pPr>
        <w:pStyle w:val="127"/>
        <w:framePr w:wrap="around" w:hAnchor="page" w:x="1524" w:y="14140"/>
        <w:rPr>
          <w:color w:val="auto"/>
        </w:rPr>
      </w:pPr>
      <w:r>
        <w:rPr>
          <w:rFonts w:hint="eastAsia" w:ascii="黑体"/>
          <w:color w:val="auto"/>
        </w:rPr>
        <w:t>202</w:t>
      </w:r>
      <w:r>
        <w:rPr>
          <w:rFonts w:hint="eastAsia" w:ascii="黑体"/>
          <w:color w:val="auto"/>
          <w:lang w:val="en-US" w:eastAsia="zh-CN"/>
        </w:rPr>
        <w:t>5</w:t>
      </w:r>
      <w:r>
        <w:rPr>
          <w:color w:val="auto"/>
        </w:rPr>
        <w:t xml:space="preserve"> </w:t>
      </w:r>
      <w:r>
        <w:rPr>
          <w:rFonts w:ascii="黑体"/>
          <w:color w:val="auto"/>
        </w:rPr>
        <w:t>-</w:t>
      </w:r>
      <w:r>
        <w:rPr>
          <w:color w:val="auto"/>
        </w:rPr>
        <w:t xml:space="preserve"> </w:t>
      </w:r>
      <w:r>
        <w:rPr>
          <w:rFonts w:hint="eastAsia" w:ascii="黑体"/>
          <w:color w:val="auto"/>
          <w:lang w:val="en-US" w:eastAsia="zh-CN"/>
        </w:rPr>
        <w:t>XX</w:t>
      </w:r>
      <w:r>
        <w:rPr>
          <w:color w:val="auto"/>
        </w:rPr>
        <w:t xml:space="preserve"> </w:t>
      </w:r>
      <w:r>
        <w:rPr>
          <w:rFonts w:ascii="黑体"/>
          <w:color w:val="auto"/>
        </w:rPr>
        <w:t>-</w:t>
      </w:r>
      <w:r>
        <w:rPr>
          <w:color w:val="auto"/>
        </w:rPr>
        <w:t xml:space="preserve"> </w:t>
      </w:r>
      <w:r>
        <w:rPr>
          <w:rFonts w:hint="eastAsia" w:ascii="黑体"/>
          <w:color w:val="auto"/>
          <w:lang w:val="en-US" w:eastAsia="zh-CN"/>
        </w:rPr>
        <w:t>XX</w:t>
      </w:r>
      <w:r>
        <w:rPr>
          <w:rFonts w:hint="eastAsia"/>
          <w:color w:val="auto"/>
        </w:rPr>
        <w:t>发布</w:t>
      </w:r>
      <w:r>
        <w:rPr>
          <w:color w:val="auto"/>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9275445</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30.35pt;height:0pt;width:481.9pt;mso-position-vertical-relative:page;z-index:251663360;mso-width-relative:page;mso-height-relative:page;" filled="f" stroked="t" coordsize="21600,21600" o:gfxdata="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pFEl&#10;4tYAAAALAQAADwAAAAAAAAABACAAAAAiAAAAZHJzL2Rvd25yZXYueG1sUEsBAhQAFAAAAAgAh07i&#10;QO+lZmrrAQAA6gMAAA4AAAAAAAAAAQAgAAAAJQEAAGRycy9lMm9Eb2MueG1sUEsFBgAAAAAGAAYA&#10;WQEAAIIFAAAAAA==&#10;">
                <v:fill on="f" focussize="0,0"/>
                <v:stroke color="#000000" joinstyle="round"/>
                <v:imagedata o:title=""/>
                <o:lock v:ext="edit" aspectratio="f"/>
                <w10:anchorlock/>
              </v:line>
            </w:pict>
          </mc:Fallback>
        </mc:AlternateContent>
      </w:r>
    </w:p>
    <w:p w14:paraId="669D2833">
      <w:pPr>
        <w:pStyle w:val="128"/>
        <w:framePr w:wrap="around" w:hAnchor="page" w:x="7194" w:y="14140"/>
        <w:rPr>
          <w:color w:val="auto"/>
        </w:rPr>
      </w:pPr>
      <w:r>
        <w:rPr>
          <w:rFonts w:hint="eastAsia" w:ascii="黑体"/>
          <w:color w:val="auto"/>
        </w:rPr>
        <w:t>202</w:t>
      </w:r>
      <w:r>
        <w:rPr>
          <w:rFonts w:hint="eastAsia" w:ascii="黑体"/>
          <w:color w:val="auto"/>
          <w:lang w:val="en-US" w:eastAsia="zh-CN"/>
        </w:rPr>
        <w:t>5</w:t>
      </w:r>
      <w:r>
        <w:rPr>
          <w:color w:val="auto"/>
        </w:rPr>
        <w:t xml:space="preserve"> </w:t>
      </w:r>
      <w:r>
        <w:rPr>
          <w:rFonts w:ascii="黑体"/>
          <w:color w:val="auto"/>
        </w:rPr>
        <w:t>-</w:t>
      </w:r>
      <w:r>
        <w:rPr>
          <w:color w:val="auto"/>
        </w:rPr>
        <w:t xml:space="preserve"> </w:t>
      </w:r>
      <w:r>
        <w:rPr>
          <w:rFonts w:hint="eastAsia" w:ascii="黑体"/>
          <w:color w:val="auto"/>
          <w:lang w:val="en-US" w:eastAsia="zh-CN"/>
        </w:rPr>
        <w:t>XX</w:t>
      </w:r>
      <w:r>
        <w:rPr>
          <w:rFonts w:ascii="黑体"/>
          <w:color w:val="auto"/>
        </w:rPr>
        <w:t>-</w:t>
      </w:r>
      <w:r>
        <w:rPr>
          <w:color w:val="auto"/>
        </w:rPr>
        <w:t xml:space="preserve"> </w:t>
      </w:r>
      <w:r>
        <w:rPr>
          <w:rFonts w:hint="eastAsia" w:ascii="黑体"/>
          <w:color w:val="auto"/>
          <w:lang w:val="en-US" w:eastAsia="zh-CN"/>
        </w:rPr>
        <w:t>XX</w:t>
      </w:r>
      <w:r>
        <w:rPr>
          <w:rFonts w:hint="eastAsia"/>
          <w:color w:val="auto"/>
        </w:rPr>
        <w:t>实施</w:t>
      </w:r>
    </w:p>
    <w:p w14:paraId="1FFB4DCF">
      <w:pPr>
        <w:pStyle w:val="108"/>
        <w:framePr w:wrap="around" w:x="2174" w:y="14997"/>
        <w:rPr>
          <w:color w:val="auto"/>
        </w:rPr>
      </w:pPr>
      <w:r>
        <w:rPr>
          <w:rFonts w:hint="eastAsia"/>
          <w:color w:val="auto"/>
        </w:rPr>
        <w:t>东莞市</w:t>
      </w:r>
      <w:r>
        <w:rPr>
          <w:rFonts w:hint="eastAsia"/>
          <w:color w:val="auto"/>
          <w:lang w:val="en-US" w:eastAsia="zh-CN"/>
        </w:rPr>
        <w:t>市场监督管理局</w:t>
      </w:r>
      <w:r>
        <w:rPr>
          <w:rFonts w:hint="eastAsia" w:ascii="MS Mincho" w:hAnsi="MS Mincho" w:eastAsia="MS Mincho" w:cs="MS Mincho"/>
          <w:color w:val="auto"/>
        </w:rPr>
        <w:t>   </w:t>
      </w:r>
      <w:r>
        <w:rPr>
          <w:rStyle w:val="70"/>
          <w:rFonts w:hint="eastAsia"/>
          <w:color w:val="auto"/>
        </w:rPr>
        <w:t>发布</w:t>
      </w:r>
    </w:p>
    <w:p w14:paraId="66BD5D7C">
      <w:pPr>
        <w:pStyle w:val="22"/>
        <w:rPr>
          <w:color w:val="auto"/>
        </w:rPr>
        <w:sectPr>
          <w:pgSz w:w="11906" w:h="16838"/>
          <w:pgMar w:top="567" w:right="850" w:bottom="1134" w:left="1418" w:header="0" w:footer="0" w:gutter="0"/>
          <w:pgBorders>
            <w:top w:val="none" w:sz="0" w:space="0"/>
            <w:left w:val="none" w:sz="0" w:space="0"/>
            <w:bottom w:val="none" w:sz="0" w:space="0"/>
            <w:right w:val="none" w:sz="0" w:space="0"/>
          </w:pgBorders>
          <w:pgNumType w:start="1"/>
          <w:cols w:space="720" w:num="1"/>
          <w:docGrid w:type="lines" w:linePitch="312" w:charSpace="0"/>
        </w:sectPr>
      </w:pPr>
      <w:r>
        <w:rPr>
          <w:color w:val="auto"/>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QeJf1wAAAAkBAAAPAAAAAAAAAAEAIAAAACIAAABkcnMvZG93bnJldi54bWxQSwECFAAUAAAACACH&#10;TuJAUtGk5uwBAADqAwAADgAAAAAAAAABACAAAAAmAQAAZHJzL2Uyb0RvYy54bWxQSwUGAAAAAAYA&#10;BgBZAQAAhAUAAAAA&#10;">
                <v:fill on="f" focussize="0,0"/>
                <v:stroke color="#000000" joinstyle="round"/>
                <v:imagedata o:title=""/>
                <o:lock v:ext="edit" aspectratio="f"/>
              </v:line>
            </w:pict>
          </mc:Fallback>
        </mc:AlternateContent>
      </w:r>
    </w:p>
    <w:p w14:paraId="30E23435">
      <w:pPr>
        <w:pStyle w:val="109"/>
        <w:rPr>
          <w:color w:val="auto"/>
        </w:rPr>
      </w:pPr>
      <w:r>
        <w:rPr>
          <w:rFonts w:hint="eastAsia"/>
          <w:color w:val="auto"/>
        </w:rPr>
        <w:t>前</w:t>
      </w:r>
      <w:bookmarkStart w:id="1" w:name="BKQY"/>
      <w:r>
        <w:rPr>
          <w:rFonts w:hint="eastAsia" w:ascii="MS Mincho" w:hAnsi="MS Mincho" w:eastAsia="MS Mincho" w:cs="MS Mincho"/>
          <w:color w:val="auto"/>
        </w:rPr>
        <w:t>  </w:t>
      </w:r>
      <w:r>
        <w:rPr>
          <w:rFonts w:hint="eastAsia"/>
          <w:color w:val="auto"/>
        </w:rPr>
        <w:t>言</w:t>
      </w:r>
      <w:bookmarkEnd w:id="1"/>
    </w:p>
    <w:p w14:paraId="5BFA2821">
      <w:pPr>
        <w:pStyle w:val="22"/>
        <w:rPr>
          <w:rFonts w:hint="eastAsia"/>
          <w:color w:val="auto"/>
        </w:rPr>
      </w:pPr>
      <w:r>
        <w:rPr>
          <w:rFonts w:hint="eastAsia"/>
          <w:color w:val="auto"/>
        </w:rPr>
        <w:t>本文件按照GB/T</w:t>
      </w:r>
      <w:r>
        <w:rPr>
          <w:rFonts w:hint="eastAsia"/>
          <w:color w:val="auto"/>
          <w:lang w:val="en-US" w:eastAsia="zh-CN"/>
        </w:rPr>
        <w:t xml:space="preserve"> </w:t>
      </w:r>
      <w:r>
        <w:rPr>
          <w:rFonts w:hint="eastAsia"/>
          <w:color w:val="auto"/>
        </w:rPr>
        <w:t>1.1－20</w:t>
      </w:r>
      <w:r>
        <w:rPr>
          <w:color w:val="auto"/>
        </w:rPr>
        <w:t>20</w:t>
      </w:r>
      <w:r>
        <w:rPr>
          <w:rFonts w:hint="eastAsia"/>
          <w:color w:val="auto"/>
        </w:rPr>
        <w:t>《标准化工作导则 第1部分：标准化文件的结构和起草规则》的规定起草。</w:t>
      </w:r>
    </w:p>
    <w:p w14:paraId="78E102DC">
      <w:pPr>
        <w:pStyle w:val="22"/>
        <w:rPr>
          <w:rFonts w:hint="eastAsia"/>
          <w:color w:val="auto"/>
        </w:rPr>
      </w:pPr>
      <w:r>
        <w:rPr>
          <w:rFonts w:hint="eastAsia"/>
          <w:color w:val="auto"/>
        </w:rPr>
        <w:t>请注意本文件的某些内容可能涉及专利。本文件发布机构不承担识别专利的责任。</w:t>
      </w:r>
    </w:p>
    <w:p w14:paraId="72DF02B9">
      <w:pPr>
        <w:pStyle w:val="22"/>
        <w:rPr>
          <w:rFonts w:hint="eastAsia"/>
          <w:color w:val="auto"/>
        </w:rPr>
      </w:pPr>
      <w:r>
        <w:rPr>
          <w:rFonts w:hint="eastAsia"/>
          <w:color w:val="auto"/>
          <w:highlight w:val="none"/>
        </w:rPr>
        <w:t>本文件由</w:t>
      </w:r>
      <w:r>
        <w:rPr>
          <w:rFonts w:hint="eastAsia"/>
          <w:color w:val="auto"/>
          <w:highlight w:val="none"/>
          <w:lang w:val="en-US" w:eastAsia="zh-CN"/>
        </w:rPr>
        <w:t>东莞市市场监督管理局</w:t>
      </w:r>
      <w:bookmarkStart w:id="2" w:name="_GoBack"/>
      <w:bookmarkEnd w:id="2"/>
      <w:r>
        <w:rPr>
          <w:rFonts w:hint="eastAsia"/>
          <w:color w:val="auto"/>
          <w:highlight w:val="none"/>
        </w:rPr>
        <w:t>提出、归口，并组织实施。</w:t>
      </w:r>
    </w:p>
    <w:p w14:paraId="51A85134">
      <w:pPr>
        <w:pStyle w:val="22"/>
        <w:rPr>
          <w:color w:val="auto"/>
        </w:rPr>
      </w:pPr>
      <w:r>
        <w:rPr>
          <w:rFonts w:hint="eastAsia"/>
          <w:color w:val="auto"/>
        </w:rPr>
        <w:t xml:space="preserve">本文件主要起草单位: </w:t>
      </w:r>
    </w:p>
    <w:p w14:paraId="1F93E4FD">
      <w:pPr>
        <w:pStyle w:val="22"/>
        <w:rPr>
          <w:color w:val="auto"/>
        </w:rPr>
        <w:sectPr>
          <w:headerReference r:id="rId3" w:type="default"/>
          <w:footerReference r:id="rId4"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color w:val="auto"/>
        </w:rPr>
        <w:t>本文件主要起草人:</w:t>
      </w:r>
    </w:p>
    <w:p w14:paraId="6A523C11">
      <w:pPr>
        <w:pStyle w:val="47"/>
        <w:rPr>
          <w:rFonts w:hint="default" w:eastAsia="黑体"/>
          <w:color w:val="auto"/>
          <w:lang w:val="en-US" w:eastAsia="zh-CN"/>
        </w:rPr>
      </w:pPr>
      <w:r>
        <w:rPr>
          <w:rFonts w:hint="eastAsia"/>
          <w:color w:val="auto"/>
          <w:lang w:val="en-US" w:eastAsia="zh-CN"/>
        </w:rPr>
        <w:t>东莞优品  企业评价规范</w:t>
      </w:r>
    </w:p>
    <w:p w14:paraId="4ACDFF54">
      <w:pPr>
        <w:pStyle w:val="42"/>
        <w:spacing w:before="312" w:after="312"/>
        <w:rPr>
          <w:color w:val="auto"/>
        </w:rPr>
      </w:pPr>
      <w:r>
        <w:rPr>
          <w:rFonts w:hint="eastAsia"/>
          <w:color w:val="auto"/>
        </w:rPr>
        <w:t>范围</w:t>
      </w:r>
    </w:p>
    <w:p w14:paraId="6FF5E6DA">
      <w:pPr>
        <w:pStyle w:val="22"/>
        <w:rPr>
          <w:color w:val="auto"/>
        </w:rPr>
      </w:pPr>
      <w:r>
        <w:rPr>
          <w:rFonts w:hint="eastAsia"/>
          <w:color w:val="auto"/>
        </w:rPr>
        <w:t>本文件规定了</w:t>
      </w:r>
      <w:r>
        <w:rPr>
          <w:rFonts w:hint="eastAsia"/>
          <w:color w:val="auto"/>
          <w:lang w:val="en-US" w:eastAsia="zh-CN"/>
        </w:rPr>
        <w:t>东莞优品企业</w:t>
      </w:r>
      <w:r>
        <w:rPr>
          <w:rFonts w:hint="eastAsia"/>
          <w:color w:val="auto"/>
        </w:rPr>
        <w:t>评价</w:t>
      </w:r>
      <w:r>
        <w:rPr>
          <w:rFonts w:hint="eastAsia"/>
          <w:color w:val="auto"/>
          <w:lang w:val="en-US" w:eastAsia="zh-CN"/>
        </w:rPr>
        <w:t>的术语和定义、评价</w:t>
      </w:r>
      <w:r>
        <w:rPr>
          <w:rFonts w:hint="eastAsia"/>
          <w:color w:val="auto"/>
        </w:rPr>
        <w:t>原则、</w:t>
      </w:r>
      <w:r>
        <w:rPr>
          <w:rFonts w:hint="eastAsia"/>
          <w:color w:val="auto"/>
          <w:lang w:val="en-US" w:eastAsia="zh-CN"/>
        </w:rPr>
        <w:t>评价对象、</w:t>
      </w:r>
      <w:r>
        <w:rPr>
          <w:rFonts w:hint="eastAsia"/>
          <w:color w:val="auto"/>
        </w:rPr>
        <w:t>评价</w:t>
      </w:r>
      <w:r>
        <w:rPr>
          <w:rFonts w:hint="eastAsia"/>
          <w:color w:val="auto"/>
          <w:lang w:val="en-US" w:eastAsia="zh-CN"/>
        </w:rPr>
        <w:t>指标</w:t>
      </w:r>
      <w:r>
        <w:rPr>
          <w:rFonts w:hint="eastAsia"/>
          <w:color w:val="auto"/>
        </w:rPr>
        <w:t>、评价</w:t>
      </w:r>
      <w:r>
        <w:rPr>
          <w:rFonts w:hint="eastAsia"/>
          <w:color w:val="auto"/>
          <w:lang w:val="en-US" w:eastAsia="zh-CN"/>
        </w:rPr>
        <w:t>方法与流程</w:t>
      </w:r>
      <w:r>
        <w:rPr>
          <w:rFonts w:hint="eastAsia"/>
          <w:color w:val="auto"/>
          <w:lang w:eastAsia="zh-CN"/>
        </w:rPr>
        <w:t>、</w:t>
      </w:r>
      <w:r>
        <w:rPr>
          <w:rFonts w:hint="eastAsia"/>
          <w:color w:val="auto"/>
          <w:lang w:val="en-US" w:eastAsia="zh-CN"/>
        </w:rPr>
        <w:t>评价文档管理和评价质量的持续改进</w:t>
      </w:r>
      <w:r>
        <w:rPr>
          <w:rFonts w:hint="eastAsia"/>
          <w:color w:val="auto"/>
        </w:rPr>
        <w:t>。</w:t>
      </w:r>
    </w:p>
    <w:p w14:paraId="0DAF257F">
      <w:pPr>
        <w:pStyle w:val="22"/>
        <w:rPr>
          <w:rFonts w:hint="default" w:eastAsia="宋体"/>
          <w:color w:val="auto"/>
          <w:lang w:val="en-US" w:eastAsia="zh-CN"/>
        </w:rPr>
      </w:pPr>
      <w:r>
        <w:rPr>
          <w:rFonts w:hint="eastAsia"/>
          <w:color w:val="auto"/>
        </w:rPr>
        <w:t>本文件适用于</w:t>
      </w:r>
      <w:r>
        <w:rPr>
          <w:rFonts w:hint="eastAsia"/>
          <w:color w:val="auto"/>
          <w:lang w:val="en-US" w:eastAsia="zh-CN"/>
        </w:rPr>
        <w:t>东莞优品企业评价</w:t>
      </w:r>
      <w:r>
        <w:rPr>
          <w:rFonts w:hint="eastAsia"/>
          <w:color w:val="auto"/>
        </w:rPr>
        <w:t>相关活动。</w:t>
      </w:r>
    </w:p>
    <w:p w14:paraId="3B086231">
      <w:pPr>
        <w:pStyle w:val="42"/>
        <w:spacing w:before="312" w:after="312"/>
        <w:rPr>
          <w:color w:val="auto"/>
        </w:rPr>
      </w:pPr>
      <w:r>
        <w:rPr>
          <w:rFonts w:hint="eastAsia"/>
          <w:color w:val="auto"/>
        </w:rPr>
        <w:t>规范性引用文件</w:t>
      </w:r>
    </w:p>
    <w:p w14:paraId="1CAA56DD">
      <w:pPr>
        <w:pStyle w:val="22"/>
        <w:rPr>
          <w:rFonts w:hint="eastAsia"/>
          <w:color w:val="auto"/>
          <w:lang w:val="en-US" w:eastAsia="zh-CN"/>
        </w:rPr>
      </w:pPr>
      <w:r>
        <w:rPr>
          <w:rFonts w:hint="eastAsia"/>
          <w:color w:val="auto"/>
          <w:highlight w:val="none"/>
        </w:rPr>
        <w:t>下列文件对于本文件的应用是必不可少的。凡是注日期的引用文件，仅所注日期的版本适用于本文件。凡是不注日期的引用文件，其最新版本（包括所有的修改单）适用于本文件</w:t>
      </w:r>
      <w:r>
        <w:rPr>
          <w:rFonts w:hint="eastAsia"/>
          <w:color w:val="auto"/>
          <w:lang w:val="en-US" w:eastAsia="zh-CN"/>
        </w:rPr>
        <w:t>。</w:t>
      </w:r>
    </w:p>
    <w:p w14:paraId="64DC64D8">
      <w:pPr>
        <w:pStyle w:val="22"/>
        <w:rPr>
          <w:rFonts w:hint="default"/>
          <w:color w:val="auto"/>
          <w:lang w:val="en-US" w:eastAsia="zh-CN"/>
        </w:rPr>
      </w:pPr>
      <w:r>
        <w:rPr>
          <w:rFonts w:hint="eastAsia"/>
          <w:color w:val="auto"/>
          <w:lang w:val="en-US" w:eastAsia="zh-CN"/>
        </w:rPr>
        <w:t>GB/T 19001  质量管理体系 要求</w:t>
      </w:r>
    </w:p>
    <w:p w14:paraId="15057362">
      <w:pPr>
        <w:pStyle w:val="22"/>
        <w:rPr>
          <w:rFonts w:hint="default"/>
          <w:color w:val="auto"/>
          <w:lang w:val="en-US" w:eastAsia="zh-CN"/>
        </w:rPr>
      </w:pPr>
      <w:r>
        <w:rPr>
          <w:rFonts w:hint="default"/>
          <w:color w:val="auto"/>
          <w:lang w:val="en-US" w:eastAsia="zh-CN"/>
        </w:rPr>
        <w:t>GB/T 208</w:t>
      </w:r>
      <w:r>
        <w:rPr>
          <w:rFonts w:hint="eastAsia"/>
          <w:color w:val="auto"/>
          <w:lang w:val="en-US" w:eastAsia="zh-CN"/>
        </w:rPr>
        <w:t>62  产品可回收利用率计算方法导则</w:t>
      </w:r>
    </w:p>
    <w:p w14:paraId="6FE676C7">
      <w:pPr>
        <w:pStyle w:val="22"/>
        <w:rPr>
          <w:rFonts w:hint="default"/>
          <w:color w:val="auto"/>
          <w:lang w:val="en-US" w:eastAsia="zh-CN"/>
        </w:rPr>
      </w:pPr>
      <w:r>
        <w:rPr>
          <w:rFonts w:hint="default"/>
          <w:color w:val="auto"/>
          <w:lang w:val="en-US" w:eastAsia="zh-CN"/>
        </w:rPr>
        <w:t>GB/T 23331</w:t>
      </w:r>
      <w:r>
        <w:rPr>
          <w:rFonts w:hint="eastAsia"/>
          <w:color w:val="auto"/>
          <w:lang w:val="en-US" w:eastAsia="zh-CN"/>
        </w:rPr>
        <w:t xml:space="preserve">  能源管理体系 要求及使用指南</w:t>
      </w:r>
    </w:p>
    <w:p w14:paraId="23C9DE9A">
      <w:pPr>
        <w:pStyle w:val="22"/>
        <w:rPr>
          <w:rFonts w:hint="eastAsia"/>
          <w:color w:val="auto"/>
          <w:lang w:val="en-US" w:eastAsia="zh-CN"/>
        </w:rPr>
      </w:pPr>
      <w:r>
        <w:rPr>
          <w:rFonts w:hint="default"/>
          <w:color w:val="auto"/>
          <w:lang w:val="en-US" w:eastAsia="zh-CN"/>
        </w:rPr>
        <w:t>GB/T 24001</w:t>
      </w:r>
      <w:r>
        <w:rPr>
          <w:rFonts w:hint="eastAsia"/>
          <w:color w:val="auto"/>
          <w:lang w:val="en-US" w:eastAsia="zh-CN"/>
        </w:rPr>
        <w:t xml:space="preserve">  环境管理体系 要求及使用指南</w:t>
      </w:r>
    </w:p>
    <w:p w14:paraId="011607A5">
      <w:pPr>
        <w:pStyle w:val="22"/>
        <w:rPr>
          <w:rFonts w:hint="default"/>
          <w:color w:val="auto"/>
          <w:lang w:val="en-US" w:eastAsia="zh-CN"/>
        </w:rPr>
      </w:pPr>
      <w:r>
        <w:rPr>
          <w:rFonts w:hint="default"/>
          <w:color w:val="auto"/>
          <w:lang w:val="en-US" w:eastAsia="zh-CN"/>
        </w:rPr>
        <w:t>GB/T 24256</w:t>
      </w:r>
      <w:r>
        <w:rPr>
          <w:rFonts w:hint="eastAsia"/>
          <w:color w:val="auto"/>
          <w:lang w:val="en-US" w:eastAsia="zh-CN"/>
        </w:rPr>
        <w:t xml:space="preserve">  产品生态设计通则</w:t>
      </w:r>
    </w:p>
    <w:p w14:paraId="2D9DD4D6">
      <w:pPr>
        <w:pStyle w:val="22"/>
        <w:rPr>
          <w:rFonts w:hint="default"/>
          <w:color w:val="auto"/>
          <w:lang w:val="en-US" w:eastAsia="zh-CN"/>
        </w:rPr>
      </w:pPr>
      <w:r>
        <w:rPr>
          <w:rFonts w:hint="default"/>
          <w:color w:val="auto"/>
          <w:lang w:val="en-US" w:eastAsia="zh-CN"/>
        </w:rPr>
        <w:t>GB/T 32161</w:t>
      </w:r>
      <w:r>
        <w:rPr>
          <w:rFonts w:hint="eastAsia"/>
          <w:color w:val="auto"/>
          <w:lang w:val="en-US" w:eastAsia="zh-CN"/>
        </w:rPr>
        <w:t xml:space="preserve">  生态设计产品评价通则</w:t>
      </w:r>
    </w:p>
    <w:p w14:paraId="5075EBE1">
      <w:pPr>
        <w:pStyle w:val="22"/>
        <w:rPr>
          <w:rFonts w:hint="default"/>
          <w:color w:val="auto"/>
          <w:lang w:val="en-US" w:eastAsia="zh-CN"/>
        </w:rPr>
      </w:pPr>
      <w:r>
        <w:rPr>
          <w:rFonts w:hint="default"/>
          <w:color w:val="auto"/>
          <w:lang w:val="en-US" w:eastAsia="zh-CN"/>
        </w:rPr>
        <w:t>GB/T 36132</w:t>
      </w:r>
      <w:r>
        <w:rPr>
          <w:rFonts w:hint="eastAsia"/>
          <w:color w:val="auto"/>
          <w:lang w:val="en-US" w:eastAsia="zh-CN"/>
        </w:rPr>
        <w:t xml:space="preserve">  绿色工厂评价通则</w:t>
      </w:r>
    </w:p>
    <w:p w14:paraId="2D7A373D">
      <w:pPr>
        <w:pStyle w:val="22"/>
        <w:rPr>
          <w:rFonts w:hint="default"/>
          <w:color w:val="auto"/>
          <w:lang w:val="en-US" w:eastAsia="zh-CN"/>
        </w:rPr>
      </w:pPr>
      <w:r>
        <w:rPr>
          <w:rFonts w:hint="default"/>
          <w:color w:val="auto"/>
          <w:lang w:val="en-US" w:eastAsia="zh-CN"/>
        </w:rPr>
        <w:t>GB/T 45001</w:t>
      </w:r>
      <w:r>
        <w:rPr>
          <w:rFonts w:hint="eastAsia"/>
          <w:color w:val="auto"/>
          <w:lang w:val="en-US" w:eastAsia="zh-CN"/>
        </w:rPr>
        <w:t xml:space="preserve">  职业健康安全管理体系 要求及使用指南</w:t>
      </w:r>
    </w:p>
    <w:p w14:paraId="001087A8">
      <w:pPr>
        <w:pStyle w:val="22"/>
        <w:rPr>
          <w:rFonts w:hint="default"/>
          <w:color w:val="auto"/>
          <w:lang w:val="en-US" w:eastAsia="zh-CN"/>
        </w:rPr>
      </w:pPr>
      <w:r>
        <w:rPr>
          <w:rFonts w:hint="default"/>
          <w:color w:val="auto"/>
          <w:lang w:val="en-US" w:eastAsia="zh-CN"/>
        </w:rPr>
        <w:t>DB</w:t>
      </w:r>
      <w:r>
        <w:rPr>
          <w:rFonts w:hint="eastAsia"/>
          <w:color w:val="auto"/>
          <w:lang w:val="en-US" w:eastAsia="zh-CN"/>
        </w:rPr>
        <w:t xml:space="preserve"> </w:t>
      </w:r>
      <w:r>
        <w:rPr>
          <w:rFonts w:hint="default"/>
          <w:color w:val="auto"/>
          <w:lang w:val="en-US" w:eastAsia="zh-CN"/>
        </w:rPr>
        <w:t>44/T 1944</w:t>
      </w:r>
      <w:r>
        <w:rPr>
          <w:rFonts w:hint="eastAsia"/>
          <w:color w:val="auto"/>
          <w:lang w:val="en-US" w:eastAsia="zh-CN"/>
        </w:rPr>
        <w:t xml:space="preserve">  碳排放管理体系 要求及使用指南</w:t>
      </w:r>
    </w:p>
    <w:p w14:paraId="6F637F5B">
      <w:pPr>
        <w:pStyle w:val="42"/>
        <w:spacing w:before="312" w:after="312"/>
        <w:rPr>
          <w:color w:val="auto"/>
        </w:rPr>
      </w:pPr>
      <w:r>
        <w:rPr>
          <w:rFonts w:hint="eastAsia"/>
          <w:color w:val="auto"/>
        </w:rPr>
        <w:t>术语和定义</w:t>
      </w:r>
    </w:p>
    <w:p w14:paraId="7A818EE7">
      <w:pPr>
        <w:pStyle w:val="22"/>
        <w:rPr>
          <w:color w:val="auto"/>
        </w:rPr>
      </w:pPr>
      <w:r>
        <w:rPr>
          <w:rFonts w:hint="eastAsia"/>
          <w:color w:val="auto"/>
        </w:rPr>
        <w:t>下列术语和定义适用于本文件。</w:t>
      </w:r>
    </w:p>
    <w:p w14:paraId="09C36FED">
      <w:pPr>
        <w:pStyle w:val="39"/>
        <w:spacing w:before="156" w:after="156"/>
        <w:rPr>
          <w:rFonts w:hint="eastAsia"/>
          <w:color w:val="auto"/>
          <w:lang w:val="en-US" w:eastAsia="zh-CN"/>
        </w:rPr>
      </w:pPr>
    </w:p>
    <w:p w14:paraId="56EDF513">
      <w:pPr>
        <w:pStyle w:val="39"/>
        <w:numPr>
          <w:ilvl w:val="0"/>
          <w:numId w:val="0"/>
        </w:numPr>
        <w:spacing w:before="156" w:after="156"/>
        <w:ind w:firstLine="420" w:firstLineChars="200"/>
        <w:rPr>
          <w:rFonts w:hint="eastAsia" w:eastAsia="黑体"/>
          <w:color w:val="auto"/>
          <w:lang w:eastAsia="zh-CN"/>
        </w:rPr>
      </w:pPr>
      <w:r>
        <w:rPr>
          <w:rFonts w:hint="eastAsia"/>
          <w:color w:val="auto"/>
          <w:lang w:val="en-US" w:eastAsia="zh-CN"/>
        </w:rPr>
        <w:t>东莞优品  excellent products</w:t>
      </w:r>
      <w:r>
        <w:rPr>
          <w:rFonts w:hint="eastAsia"/>
          <w:color w:val="auto"/>
        </w:rPr>
        <w:t xml:space="preserve"> of Dongguan</w:t>
      </w:r>
    </w:p>
    <w:p w14:paraId="50B901C3">
      <w:pPr>
        <w:pStyle w:val="22"/>
        <w:rPr>
          <w:rFonts w:hint="eastAsia"/>
          <w:color w:val="auto"/>
        </w:rPr>
      </w:pPr>
      <w:r>
        <w:rPr>
          <w:rFonts w:hint="eastAsia"/>
          <w:color w:val="auto"/>
          <w:lang w:val="en-US" w:eastAsia="zh-CN"/>
        </w:rPr>
        <w:t>由</w:t>
      </w:r>
      <w:r>
        <w:rPr>
          <w:rFonts w:hint="eastAsia"/>
          <w:color w:val="auto"/>
        </w:rPr>
        <w:t>东莞市</w:t>
      </w:r>
      <w:r>
        <w:rPr>
          <w:rFonts w:hint="eastAsia"/>
          <w:color w:val="auto"/>
          <w:lang w:val="en-US" w:eastAsia="zh-CN"/>
        </w:rPr>
        <w:t>辖区</w:t>
      </w:r>
      <w:r>
        <w:rPr>
          <w:rFonts w:hint="eastAsia"/>
          <w:color w:val="auto"/>
        </w:rPr>
        <w:t>内注册企业生产或授权生产</w:t>
      </w:r>
      <w:r>
        <w:rPr>
          <w:rFonts w:hint="eastAsia"/>
          <w:color w:val="auto"/>
          <w:lang w:eastAsia="zh-CN"/>
        </w:rPr>
        <w:t>、</w:t>
      </w:r>
      <w:r>
        <w:rPr>
          <w:rFonts w:hint="eastAsia"/>
          <w:color w:val="auto"/>
          <w:lang w:val="en-US" w:eastAsia="zh-CN"/>
        </w:rPr>
        <w:t>经第三方检测其质量指标达到或优于东莞优品产品评价规范要求的产品</w:t>
      </w:r>
      <w:r>
        <w:rPr>
          <w:rFonts w:hint="eastAsia"/>
          <w:color w:val="auto"/>
        </w:rPr>
        <w:t>。</w:t>
      </w:r>
    </w:p>
    <w:p w14:paraId="3C872E9C">
      <w:pPr>
        <w:pStyle w:val="42"/>
        <w:spacing w:before="312" w:after="312"/>
        <w:rPr>
          <w:color w:val="auto"/>
        </w:rPr>
      </w:pPr>
      <w:r>
        <w:rPr>
          <w:rFonts w:hint="eastAsia"/>
          <w:color w:val="auto"/>
          <w:lang w:val="en-US" w:eastAsia="zh-CN"/>
        </w:rPr>
        <w:t>评价原则</w:t>
      </w:r>
    </w:p>
    <w:p w14:paraId="3466BC44">
      <w:pPr>
        <w:pStyle w:val="39"/>
        <w:spacing w:before="156" w:after="156"/>
        <w:rPr>
          <w:rFonts w:hint="eastAsia"/>
          <w:color w:val="auto"/>
        </w:rPr>
      </w:pPr>
      <w:r>
        <w:rPr>
          <w:rFonts w:hint="eastAsia"/>
          <w:color w:val="auto"/>
        </w:rPr>
        <w:t>客观性原则</w:t>
      </w:r>
    </w:p>
    <w:p w14:paraId="66C001B2">
      <w:pPr>
        <w:pStyle w:val="22"/>
        <w:rPr>
          <w:rFonts w:hint="eastAsia"/>
          <w:color w:val="auto"/>
        </w:rPr>
      </w:pPr>
      <w:r>
        <w:rPr>
          <w:rFonts w:hint="eastAsia"/>
          <w:color w:val="auto"/>
        </w:rPr>
        <w:t>应依据可验证和</w:t>
      </w:r>
      <w:r>
        <w:rPr>
          <w:rFonts w:hint="eastAsia"/>
          <w:color w:val="auto"/>
          <w:lang w:val="en-US" w:eastAsia="zh-CN"/>
        </w:rPr>
        <w:t>可</w:t>
      </w:r>
      <w:r>
        <w:rPr>
          <w:rFonts w:hint="eastAsia"/>
          <w:color w:val="auto"/>
        </w:rPr>
        <w:t>观察的客观信息和数据，遵循明确、具体的标准，采用科学、合理的方法和工具，确保评价结果的客观性和准确性。</w:t>
      </w:r>
    </w:p>
    <w:p w14:paraId="56A46D9A">
      <w:pPr>
        <w:pStyle w:val="22"/>
        <w:rPr>
          <w:rFonts w:hint="eastAsia"/>
          <w:color w:val="auto"/>
        </w:rPr>
      </w:pPr>
    </w:p>
    <w:p w14:paraId="342ADC9F">
      <w:pPr>
        <w:pStyle w:val="22"/>
        <w:rPr>
          <w:rFonts w:hint="eastAsia"/>
          <w:color w:val="auto"/>
        </w:rPr>
      </w:pPr>
    </w:p>
    <w:p w14:paraId="66FF0F90">
      <w:pPr>
        <w:pStyle w:val="39"/>
        <w:spacing w:before="156" w:after="156"/>
        <w:rPr>
          <w:rFonts w:hint="eastAsia"/>
          <w:color w:val="auto"/>
        </w:rPr>
      </w:pPr>
      <w:r>
        <w:rPr>
          <w:rFonts w:hint="eastAsia"/>
          <w:color w:val="auto"/>
        </w:rPr>
        <w:t>公正性原则</w:t>
      </w:r>
    </w:p>
    <w:p w14:paraId="45B79583">
      <w:pPr>
        <w:pStyle w:val="22"/>
        <w:rPr>
          <w:rFonts w:hint="eastAsia"/>
          <w:color w:val="auto"/>
        </w:rPr>
      </w:pPr>
      <w:r>
        <w:rPr>
          <w:rFonts w:hint="eastAsia"/>
          <w:color w:val="auto"/>
        </w:rPr>
        <w:t>应在确保评价者的独立性和公正性的前提下，采用相同的、公开的评价标准、评价方法和评价程序进行评价工作，确保评价工作的公正性。</w:t>
      </w:r>
    </w:p>
    <w:p w14:paraId="6167324F">
      <w:pPr>
        <w:pStyle w:val="39"/>
        <w:spacing w:before="156" w:after="156"/>
        <w:rPr>
          <w:rFonts w:hint="eastAsia"/>
          <w:color w:val="auto"/>
          <w:lang w:val="en-US" w:eastAsia="zh-CN"/>
        </w:rPr>
      </w:pPr>
      <w:r>
        <w:rPr>
          <w:rFonts w:hint="eastAsia"/>
          <w:color w:val="auto"/>
          <w:lang w:val="en-US" w:eastAsia="zh-CN"/>
        </w:rPr>
        <w:t>全面性原则</w:t>
      </w:r>
    </w:p>
    <w:p w14:paraId="40E3124E">
      <w:pPr>
        <w:pStyle w:val="22"/>
        <w:rPr>
          <w:rFonts w:hint="default"/>
          <w:color w:val="auto"/>
          <w:lang w:val="en-US" w:eastAsia="zh-CN"/>
        </w:rPr>
      </w:pPr>
      <w:r>
        <w:rPr>
          <w:rFonts w:hint="default"/>
          <w:color w:val="auto"/>
          <w:lang w:val="en-US" w:eastAsia="zh-CN"/>
        </w:rPr>
        <w:t>在进行评价时，应全面考虑构成东莞优品核心价值的各</w:t>
      </w:r>
      <w:r>
        <w:rPr>
          <w:rFonts w:hint="eastAsia"/>
          <w:color w:val="auto"/>
          <w:lang w:val="en-US" w:eastAsia="zh-CN"/>
        </w:rPr>
        <w:t>项</w:t>
      </w:r>
      <w:r>
        <w:rPr>
          <w:rFonts w:hint="default"/>
          <w:color w:val="auto"/>
          <w:lang w:val="en-US" w:eastAsia="zh-CN"/>
        </w:rPr>
        <w:t>要素，兼顾企业、企业产品的现状、持续质量保证能力和可持续发展，制定科学合理的评价指标，以确保评价结果的完整性、准确性和前瞻性。</w:t>
      </w:r>
    </w:p>
    <w:p w14:paraId="33A56163">
      <w:pPr>
        <w:pStyle w:val="39"/>
        <w:spacing w:before="156" w:after="156"/>
        <w:rPr>
          <w:rFonts w:hint="eastAsia"/>
          <w:color w:val="auto"/>
        </w:rPr>
      </w:pPr>
      <w:r>
        <w:rPr>
          <w:rFonts w:hint="eastAsia"/>
          <w:color w:val="auto"/>
          <w:lang w:val="en-US" w:eastAsia="zh-CN"/>
        </w:rPr>
        <w:t>可追溯性</w:t>
      </w:r>
      <w:r>
        <w:rPr>
          <w:rFonts w:hint="eastAsia"/>
          <w:color w:val="auto"/>
        </w:rPr>
        <w:t>原则</w:t>
      </w:r>
    </w:p>
    <w:p w14:paraId="188CE3D1">
      <w:pPr>
        <w:pStyle w:val="22"/>
        <w:rPr>
          <w:rFonts w:hint="eastAsia"/>
          <w:color w:val="auto"/>
        </w:rPr>
      </w:pPr>
      <w:r>
        <w:rPr>
          <w:rFonts w:hint="eastAsia"/>
          <w:color w:val="auto"/>
        </w:rPr>
        <w:t>评价过程应完整、清晰地记录评价过程和结果，确保评价过程</w:t>
      </w:r>
      <w:r>
        <w:rPr>
          <w:rFonts w:hint="eastAsia"/>
          <w:color w:val="auto"/>
          <w:lang w:val="en-US" w:eastAsia="zh-CN"/>
        </w:rPr>
        <w:t>可追溯、评价结果可验证，并</w:t>
      </w:r>
      <w:r>
        <w:rPr>
          <w:rFonts w:hint="eastAsia"/>
          <w:color w:val="auto"/>
        </w:rPr>
        <w:t>接受相关方申述和监督。</w:t>
      </w:r>
    </w:p>
    <w:p w14:paraId="3B51CED5">
      <w:pPr>
        <w:pStyle w:val="42"/>
        <w:spacing w:before="312" w:after="312"/>
        <w:rPr>
          <w:color w:val="auto"/>
        </w:rPr>
      </w:pPr>
      <w:r>
        <w:rPr>
          <w:rFonts w:hint="eastAsia"/>
          <w:color w:val="auto"/>
          <w:lang w:val="en-US" w:eastAsia="zh-CN"/>
        </w:rPr>
        <w:t>评价对象</w:t>
      </w:r>
    </w:p>
    <w:p w14:paraId="5129B2A6">
      <w:pPr>
        <w:pStyle w:val="22"/>
        <w:rPr>
          <w:rFonts w:hint="eastAsia"/>
          <w:color w:val="auto"/>
          <w:lang w:val="en-US" w:eastAsia="zh-CN"/>
        </w:rPr>
      </w:pPr>
      <w:r>
        <w:rPr>
          <w:rFonts w:hint="eastAsia"/>
          <w:color w:val="auto"/>
          <w:lang w:val="en-US" w:eastAsia="zh-CN"/>
        </w:rPr>
        <w:t>符合以下条件的企业可自愿申报东莞优品企业评价：</w:t>
      </w:r>
    </w:p>
    <w:p w14:paraId="34FE5905">
      <w:pPr>
        <w:pStyle w:val="22"/>
        <w:rPr>
          <w:rFonts w:hint="default" w:ascii="宋体" w:eastAsia="宋体"/>
          <w:color w:val="auto"/>
          <w:highlight w:val="none"/>
          <w:lang w:val="en-US" w:eastAsia="zh-CN"/>
        </w:rPr>
      </w:pPr>
      <w:r>
        <w:rPr>
          <w:rFonts w:hint="default" w:ascii="Arial" w:hAnsi="Arial" w:cs="Arial"/>
          <w:color w:val="auto"/>
          <w:highlight w:val="none"/>
          <w:lang w:val="en-US" w:eastAsia="zh-CN"/>
        </w:rPr>
        <w:t>——</w:t>
      </w:r>
      <w:r>
        <w:rPr>
          <w:rFonts w:hint="default" w:ascii="宋体" w:eastAsia="宋体"/>
          <w:color w:val="auto"/>
          <w:highlight w:val="none"/>
          <w:lang w:val="en-US" w:eastAsia="zh-CN"/>
        </w:rPr>
        <w:t>在东莞市行政区域内登记注册</w:t>
      </w:r>
      <w:r>
        <w:rPr>
          <w:rFonts w:hint="eastAsia" w:ascii="宋体" w:eastAsia="宋体"/>
          <w:color w:val="auto"/>
          <w:highlight w:val="none"/>
          <w:lang w:val="en-US" w:eastAsia="zh-CN"/>
        </w:rPr>
        <w:t>、</w:t>
      </w:r>
      <w:r>
        <w:rPr>
          <w:rFonts w:hint="default" w:ascii="宋体" w:eastAsia="宋体"/>
          <w:color w:val="auto"/>
          <w:highlight w:val="none"/>
          <w:lang w:val="en-US" w:eastAsia="zh-CN"/>
        </w:rPr>
        <w:t>具有独立法人资格</w:t>
      </w:r>
      <w:r>
        <w:rPr>
          <w:rFonts w:hint="eastAsia" w:ascii="宋体" w:eastAsia="宋体"/>
          <w:color w:val="auto"/>
          <w:highlight w:val="none"/>
          <w:lang w:val="en-US" w:eastAsia="zh-CN"/>
        </w:rPr>
        <w:t>的企业，</w:t>
      </w:r>
      <w:r>
        <w:rPr>
          <w:rFonts w:hint="default" w:ascii="宋体" w:eastAsia="宋体"/>
          <w:color w:val="auto"/>
          <w:highlight w:val="none"/>
          <w:lang w:val="en-US" w:eastAsia="zh-CN"/>
        </w:rPr>
        <w:t>且生产的产品</w:t>
      </w:r>
      <w:r>
        <w:rPr>
          <w:rFonts w:hint="eastAsia" w:ascii="宋体" w:eastAsia="宋体"/>
          <w:color w:val="auto"/>
          <w:highlight w:val="none"/>
          <w:lang w:val="en-US" w:eastAsia="zh-CN"/>
        </w:rPr>
        <w:t>列入东莞优品评价产品类别目录范围</w:t>
      </w:r>
      <w:r>
        <w:rPr>
          <w:rFonts w:hint="default" w:ascii="宋体" w:eastAsia="宋体"/>
          <w:color w:val="auto"/>
          <w:highlight w:val="none"/>
          <w:lang w:val="en-US" w:eastAsia="zh-CN"/>
        </w:rPr>
        <w:t>；</w:t>
      </w:r>
    </w:p>
    <w:p w14:paraId="4573455C">
      <w:pPr>
        <w:pStyle w:val="22"/>
        <w:rPr>
          <w:rFonts w:hint="default" w:ascii="宋体" w:eastAsia="宋体"/>
          <w:color w:val="auto"/>
          <w:highlight w:val="none"/>
          <w:lang w:val="en-US" w:eastAsia="zh-CN"/>
        </w:rPr>
      </w:pPr>
      <w:r>
        <w:rPr>
          <w:rFonts w:hint="default" w:ascii="Arial" w:hAnsi="Arial" w:cs="Arial"/>
          <w:color w:val="auto"/>
          <w:highlight w:val="none"/>
          <w:lang w:val="en-US" w:eastAsia="zh-CN"/>
        </w:rPr>
        <w:t>——</w:t>
      </w:r>
      <w:r>
        <w:rPr>
          <w:rFonts w:hint="default" w:ascii="宋体" w:eastAsia="宋体"/>
          <w:color w:val="auto"/>
          <w:highlight w:val="none"/>
          <w:lang w:val="en-US" w:eastAsia="zh-CN"/>
        </w:rPr>
        <w:t>符合国家、省和市的产业、环保、质量等政策，列入国家强制监督管理范围的应取得有关证照；</w:t>
      </w:r>
    </w:p>
    <w:p w14:paraId="3CAE27E9">
      <w:pPr>
        <w:pStyle w:val="22"/>
        <w:rPr>
          <w:rFonts w:hint="eastAsia"/>
          <w:color w:val="auto"/>
          <w:highlight w:val="none"/>
          <w:lang w:val="en-US" w:eastAsia="zh-CN"/>
        </w:rPr>
      </w:pPr>
      <w:r>
        <w:rPr>
          <w:rFonts w:hint="default" w:ascii="Arial" w:hAnsi="Arial" w:cs="Arial"/>
          <w:color w:val="auto"/>
          <w:highlight w:val="none"/>
          <w:lang w:val="en-US" w:eastAsia="zh-CN"/>
        </w:rPr>
        <w:t>——</w:t>
      </w:r>
      <w:r>
        <w:rPr>
          <w:rFonts w:hint="default" w:ascii="宋体" w:eastAsia="宋体"/>
          <w:color w:val="auto"/>
          <w:highlight w:val="none"/>
          <w:lang w:val="en-US" w:eastAsia="zh-CN"/>
        </w:rPr>
        <w:t>不存在《关于东莞市促进经济发展类专项资金不予资助范围的若干规定》</w:t>
      </w:r>
      <w:r>
        <w:rPr>
          <w:rFonts w:hint="eastAsia" w:ascii="宋体" w:eastAsia="宋体"/>
          <w:color w:val="auto"/>
          <w:highlight w:val="none"/>
          <w:lang w:val="en-US" w:eastAsia="zh-CN"/>
        </w:rPr>
        <w:t>（</w:t>
      </w:r>
      <w:r>
        <w:rPr>
          <w:rFonts w:hint="default" w:ascii="宋体" w:eastAsia="宋体"/>
          <w:color w:val="auto"/>
          <w:highlight w:val="none"/>
          <w:lang w:val="en-US" w:eastAsia="zh-CN"/>
        </w:rPr>
        <w:t>东财规〔2023〕2号</w:t>
      </w:r>
      <w:r>
        <w:rPr>
          <w:rFonts w:hint="eastAsia" w:ascii="宋体" w:eastAsia="宋体"/>
          <w:color w:val="auto"/>
          <w:highlight w:val="none"/>
          <w:lang w:val="en-US" w:eastAsia="zh-CN"/>
        </w:rPr>
        <w:t>）</w:t>
      </w:r>
      <w:r>
        <w:rPr>
          <w:rFonts w:hint="default" w:ascii="宋体" w:eastAsia="宋体"/>
          <w:color w:val="auto"/>
          <w:highlight w:val="none"/>
          <w:lang w:val="en-US" w:eastAsia="zh-CN"/>
        </w:rPr>
        <w:t>不予资助的情况。</w:t>
      </w:r>
    </w:p>
    <w:p w14:paraId="4D0039ED">
      <w:pPr>
        <w:pStyle w:val="42"/>
        <w:spacing w:before="312" w:after="312"/>
        <w:rPr>
          <w:rFonts w:hint="eastAsia"/>
          <w:color w:val="auto"/>
          <w:lang w:val="en-US" w:eastAsia="zh-CN"/>
        </w:rPr>
      </w:pPr>
      <w:r>
        <w:rPr>
          <w:rFonts w:hint="eastAsia"/>
          <w:color w:val="auto"/>
          <w:lang w:val="en-US" w:eastAsia="zh-CN"/>
        </w:rPr>
        <w:t>评价指标</w:t>
      </w:r>
    </w:p>
    <w:p w14:paraId="0BF34006">
      <w:pPr>
        <w:pStyle w:val="22"/>
        <w:rPr>
          <w:rFonts w:hint="eastAsia"/>
          <w:color w:val="auto"/>
          <w:lang w:val="en-US" w:eastAsia="zh-CN"/>
        </w:rPr>
      </w:pPr>
      <w:r>
        <w:rPr>
          <w:rFonts w:hint="eastAsia"/>
          <w:color w:val="auto"/>
          <w:lang w:val="en-US" w:eastAsia="zh-CN"/>
        </w:rPr>
        <w:t>东莞优品企业评价指标分为资料评价指标和现场评价指标。</w:t>
      </w:r>
    </w:p>
    <w:p w14:paraId="6B91C06C">
      <w:pPr>
        <w:pStyle w:val="22"/>
        <w:rPr>
          <w:rFonts w:hint="eastAsia"/>
          <w:color w:val="auto"/>
          <w:lang w:val="en-US" w:eastAsia="zh-CN"/>
        </w:rPr>
      </w:pPr>
      <w:r>
        <w:rPr>
          <w:rFonts w:hint="eastAsia"/>
          <w:color w:val="auto"/>
          <w:lang w:val="en-US" w:eastAsia="zh-CN"/>
        </w:rPr>
        <w:t>资料评价指标包含合规性要求、组织管理、资源管理、过程管理、产品责任及消费者权益保障、创新能力、品牌管理、数字化建设、绿色发展、社会责任共计9个一级指标，其中合规性指标为否决项。一级指标后设置16项二级指标，每项二级指标包含若干条评价要求。资料评价指标及评价要求见附录A。</w:t>
      </w:r>
    </w:p>
    <w:p w14:paraId="739168A3">
      <w:pPr>
        <w:pStyle w:val="22"/>
        <w:rPr>
          <w:rFonts w:hint="default"/>
          <w:color w:val="auto"/>
          <w:lang w:val="en-US" w:eastAsia="zh-CN"/>
        </w:rPr>
      </w:pPr>
      <w:r>
        <w:rPr>
          <w:rFonts w:hint="eastAsia"/>
          <w:color w:val="auto"/>
          <w:lang w:val="en-US" w:eastAsia="zh-CN"/>
        </w:rPr>
        <w:t>现场评价指标共计51项，现场评价指标及评价要求见附录A。</w:t>
      </w:r>
    </w:p>
    <w:p w14:paraId="59146EF2">
      <w:pPr>
        <w:pStyle w:val="42"/>
        <w:spacing w:before="312" w:after="312"/>
        <w:rPr>
          <w:rFonts w:hint="default"/>
          <w:color w:val="auto"/>
          <w:lang w:val="en-US" w:eastAsia="zh-CN"/>
        </w:rPr>
      </w:pPr>
      <w:r>
        <w:rPr>
          <w:rFonts w:hint="eastAsia"/>
          <w:color w:val="auto"/>
          <w:lang w:val="en-US" w:eastAsia="zh-CN"/>
        </w:rPr>
        <w:t>评价方法与流程</w:t>
      </w:r>
    </w:p>
    <w:p w14:paraId="70314CC6">
      <w:pPr>
        <w:pStyle w:val="39"/>
        <w:spacing w:before="156" w:after="156"/>
        <w:rPr>
          <w:rFonts w:hint="default"/>
          <w:color w:val="auto"/>
          <w:lang w:val="en-US" w:eastAsia="zh-CN"/>
        </w:rPr>
      </w:pPr>
      <w:r>
        <w:rPr>
          <w:rFonts w:hint="eastAsia"/>
          <w:color w:val="auto"/>
          <w:lang w:val="en-US" w:eastAsia="zh-CN"/>
        </w:rPr>
        <w:t>计分方法</w:t>
      </w:r>
    </w:p>
    <w:p w14:paraId="4D654665">
      <w:pPr>
        <w:pStyle w:val="60"/>
        <w:bidi w:val="0"/>
        <w:rPr>
          <w:rFonts w:hint="eastAsia"/>
          <w:color w:val="auto"/>
          <w:lang w:val="en-US" w:eastAsia="zh-CN"/>
        </w:rPr>
      </w:pPr>
      <w:r>
        <w:rPr>
          <w:rFonts w:hint="eastAsia"/>
          <w:color w:val="auto"/>
          <w:lang w:val="en-US" w:eastAsia="zh-CN"/>
        </w:rPr>
        <w:t>东莞优品企业评价采用计分方法。否决项一票否决不赋分值，资料评价总分赋值为295分，现场评价总赋值为705分，总分合计1000分。</w:t>
      </w:r>
    </w:p>
    <w:p w14:paraId="084CD206">
      <w:pPr>
        <w:pStyle w:val="60"/>
        <w:bidi w:val="0"/>
        <w:rPr>
          <w:rFonts w:hint="eastAsia"/>
          <w:color w:val="auto"/>
          <w:lang w:val="en-US" w:eastAsia="zh-CN"/>
        </w:rPr>
      </w:pPr>
      <w:r>
        <w:rPr>
          <w:rFonts w:hint="eastAsia"/>
          <w:color w:val="auto"/>
          <w:lang w:val="en-US" w:eastAsia="zh-CN"/>
        </w:rPr>
        <w:t>按百分比设定各项指标权重数值，分别计算每项指标所占分值，分值准确至个位。</w:t>
      </w:r>
    </w:p>
    <w:p w14:paraId="72BE50C0">
      <w:pPr>
        <w:pStyle w:val="60"/>
        <w:bidi w:val="0"/>
        <w:rPr>
          <w:rFonts w:hint="eastAsia"/>
          <w:color w:val="auto"/>
          <w:lang w:val="en-US" w:eastAsia="zh-CN"/>
        </w:rPr>
      </w:pPr>
      <w:r>
        <w:rPr>
          <w:rFonts w:hint="eastAsia"/>
          <w:color w:val="auto"/>
          <w:lang w:val="en-US" w:eastAsia="zh-CN"/>
        </w:rPr>
        <w:t>根据每项指标下各项二级指标中每条评价内容的重要性，分配每条评价内容所占分值。每项指标下属各条评价内容分值总和应与该指标的总分值相等。</w:t>
      </w:r>
    </w:p>
    <w:p w14:paraId="41EFC14C">
      <w:pPr>
        <w:pStyle w:val="39"/>
        <w:spacing w:before="156" w:after="156"/>
        <w:rPr>
          <w:rFonts w:hint="default"/>
          <w:color w:val="auto"/>
          <w:lang w:val="en-US" w:eastAsia="zh-CN"/>
        </w:rPr>
      </w:pPr>
      <w:r>
        <w:rPr>
          <w:rFonts w:hint="eastAsia"/>
          <w:color w:val="auto"/>
          <w:lang w:val="en-US" w:eastAsia="zh-CN"/>
        </w:rPr>
        <w:t>合格线划定</w:t>
      </w:r>
    </w:p>
    <w:p w14:paraId="3E1FAE32">
      <w:pPr>
        <w:pStyle w:val="60"/>
        <w:bidi w:val="0"/>
        <w:rPr>
          <w:rFonts w:hint="eastAsia"/>
          <w:color w:val="auto"/>
          <w:lang w:val="en-US" w:eastAsia="zh-CN"/>
        </w:rPr>
      </w:pPr>
      <w:r>
        <w:rPr>
          <w:rFonts w:hint="eastAsia"/>
          <w:color w:val="auto"/>
          <w:lang w:val="en-US" w:eastAsia="zh-CN"/>
        </w:rPr>
        <w:t>应根据东莞优品管理需求，划定入围合格线为700分。</w:t>
      </w:r>
    </w:p>
    <w:p w14:paraId="60D74C47">
      <w:pPr>
        <w:pStyle w:val="60"/>
        <w:bidi w:val="0"/>
        <w:rPr>
          <w:rFonts w:hint="default"/>
          <w:color w:val="auto"/>
          <w:lang w:val="en-US" w:eastAsia="zh-CN"/>
        </w:rPr>
      </w:pPr>
      <w:r>
        <w:rPr>
          <w:rFonts w:hint="eastAsia"/>
          <w:color w:val="auto"/>
          <w:lang w:val="en-US" w:eastAsia="zh-CN"/>
        </w:rPr>
        <w:t>入围东莞优品的企业，应无否决项，评价总得分应大于或等于入围合格线。</w:t>
      </w:r>
    </w:p>
    <w:p w14:paraId="5A0A5077">
      <w:pPr>
        <w:pStyle w:val="39"/>
        <w:spacing w:before="156" w:after="156"/>
        <w:rPr>
          <w:color w:val="auto"/>
        </w:rPr>
      </w:pPr>
      <w:r>
        <w:rPr>
          <w:rFonts w:hint="eastAsia"/>
          <w:color w:val="auto"/>
        </w:rPr>
        <w:t>评</w:t>
      </w:r>
      <w:r>
        <w:rPr>
          <w:rFonts w:hint="eastAsia"/>
          <w:color w:val="auto"/>
          <w:lang w:val="en-US" w:eastAsia="zh-CN"/>
        </w:rPr>
        <w:t>价</w:t>
      </w:r>
      <w:r>
        <w:rPr>
          <w:rFonts w:hint="eastAsia"/>
          <w:color w:val="auto"/>
        </w:rPr>
        <w:t>流程</w:t>
      </w:r>
    </w:p>
    <w:p w14:paraId="2C766270">
      <w:pPr>
        <w:pStyle w:val="43"/>
        <w:spacing w:before="156" w:after="156"/>
        <w:rPr>
          <w:color w:val="auto"/>
        </w:rPr>
      </w:pPr>
      <w:r>
        <w:rPr>
          <w:rFonts w:hint="eastAsia"/>
          <w:color w:val="auto"/>
        </w:rPr>
        <w:t>评</w:t>
      </w:r>
      <w:r>
        <w:rPr>
          <w:rFonts w:hint="eastAsia"/>
          <w:color w:val="auto"/>
          <w:lang w:val="en-US" w:eastAsia="zh-CN"/>
        </w:rPr>
        <w:t>价</w:t>
      </w:r>
      <w:r>
        <w:rPr>
          <w:rFonts w:hint="eastAsia"/>
          <w:color w:val="auto"/>
        </w:rPr>
        <w:t>组织</w:t>
      </w:r>
    </w:p>
    <w:p w14:paraId="119D4364">
      <w:pPr>
        <w:pStyle w:val="22"/>
        <w:rPr>
          <w:rFonts w:hint="eastAsia"/>
          <w:color w:val="auto"/>
          <w:lang w:val="en-US" w:eastAsia="zh-CN"/>
        </w:rPr>
      </w:pPr>
      <w:r>
        <w:rPr>
          <w:rFonts w:hint="eastAsia"/>
          <w:color w:val="auto"/>
          <w:lang w:val="en-US" w:eastAsia="zh-CN"/>
        </w:rPr>
        <w:t>评价活动由东莞优品管理部门或授权管理组织委托第三方专业机构组织开展。第三方专业机构应根据申报企业实际情况合理组建评价工作小组，按本文件要求对企业进行评价。</w:t>
      </w:r>
    </w:p>
    <w:p w14:paraId="4983D477">
      <w:pPr>
        <w:pStyle w:val="43"/>
        <w:spacing w:before="156" w:after="156"/>
        <w:rPr>
          <w:color w:val="auto"/>
        </w:rPr>
      </w:pPr>
      <w:r>
        <w:rPr>
          <w:rFonts w:hint="eastAsia"/>
          <w:color w:val="auto"/>
          <w:lang w:val="en-US" w:eastAsia="zh-CN"/>
        </w:rPr>
        <w:t>成立评价工作小组</w:t>
      </w:r>
    </w:p>
    <w:p w14:paraId="2BD4E871">
      <w:pPr>
        <w:pStyle w:val="110"/>
        <w:bidi w:val="0"/>
        <w:rPr>
          <w:rFonts w:hint="eastAsia"/>
          <w:color w:val="auto"/>
          <w:lang w:val="en-US" w:eastAsia="zh-CN"/>
        </w:rPr>
      </w:pPr>
      <w:r>
        <w:rPr>
          <w:rFonts w:hint="eastAsia"/>
          <w:color w:val="auto"/>
          <w:lang w:val="en-US" w:eastAsia="zh-CN"/>
        </w:rPr>
        <w:t>应根据行业领域，选择至少2名人员组成评价小组，设组长1名。</w:t>
      </w:r>
    </w:p>
    <w:p w14:paraId="6B9F81D3">
      <w:pPr>
        <w:pStyle w:val="110"/>
        <w:bidi w:val="0"/>
        <w:rPr>
          <w:rFonts w:hint="default"/>
          <w:color w:val="auto"/>
          <w:lang w:val="en-US" w:eastAsia="zh-CN"/>
        </w:rPr>
      </w:pPr>
      <w:r>
        <w:rPr>
          <w:rFonts w:hint="eastAsia"/>
          <w:color w:val="auto"/>
          <w:lang w:val="en-US" w:eastAsia="zh-CN"/>
        </w:rPr>
        <w:t>各评价人员应熟悉东莞优品评价指标所涉及的专业的相关要求，并遵守第三方专业机构的评价管理规定。</w:t>
      </w:r>
    </w:p>
    <w:p w14:paraId="0037C4F5">
      <w:pPr>
        <w:pStyle w:val="43"/>
        <w:bidi w:val="0"/>
        <w:ind w:left="0" w:leftChars="0" w:firstLine="0" w:firstLineChars="0"/>
        <w:rPr>
          <w:rFonts w:hint="eastAsia"/>
          <w:color w:val="auto"/>
          <w:lang w:val="en-US" w:eastAsia="zh-CN"/>
        </w:rPr>
      </w:pPr>
      <w:r>
        <w:rPr>
          <w:rFonts w:hint="eastAsia"/>
          <w:color w:val="auto"/>
          <w:lang w:val="en-US" w:eastAsia="zh-CN"/>
        </w:rPr>
        <w:t>制定评价工作方案</w:t>
      </w:r>
    </w:p>
    <w:p w14:paraId="65C6C529">
      <w:pPr>
        <w:pStyle w:val="43"/>
        <w:numPr>
          <w:ilvl w:val="2"/>
          <w:numId w:val="0"/>
        </w:numPr>
        <w:bidi w:val="0"/>
        <w:ind w:leftChars="0" w:firstLine="420" w:firstLineChars="200"/>
        <w:rPr>
          <w:rFonts w:hint="eastAsia" w:ascii="宋体" w:eastAsia="宋体" w:cs="Times New Roman"/>
          <w:color w:val="auto"/>
          <w:sz w:val="21"/>
          <w:lang w:val="en-US" w:eastAsia="zh-CN" w:bidi="ar-SA"/>
        </w:rPr>
      </w:pPr>
      <w:r>
        <w:rPr>
          <w:rFonts w:hint="eastAsia" w:ascii="宋体" w:eastAsia="宋体" w:cs="Times New Roman"/>
          <w:color w:val="auto"/>
          <w:sz w:val="21"/>
          <w:lang w:val="en-US" w:eastAsia="zh-CN" w:bidi="ar-SA"/>
        </w:rPr>
        <w:t>实施评价前应制定评价工作方案，方案内容至少</w:t>
      </w:r>
      <w:r>
        <w:rPr>
          <w:rFonts w:hint="eastAsia" w:ascii="宋体" w:hAnsi="Times New Roman" w:eastAsia="宋体" w:cs="Times New Roman"/>
          <w:color w:val="auto"/>
          <w:sz w:val="21"/>
          <w:lang w:val="en-US" w:eastAsia="zh-CN" w:bidi="ar-SA"/>
        </w:rPr>
        <w:t>包括</w:t>
      </w:r>
      <w:r>
        <w:rPr>
          <w:rFonts w:hint="eastAsia" w:ascii="宋体" w:eastAsia="宋体" w:cs="Times New Roman"/>
          <w:color w:val="auto"/>
          <w:sz w:val="21"/>
          <w:lang w:val="en-US" w:eastAsia="zh-CN" w:bidi="ar-SA"/>
        </w:rPr>
        <w:t>评价原则、评价方法、评价人员、工作进度及时间安排、组织管理及人员分工等内容。</w:t>
      </w:r>
    </w:p>
    <w:p w14:paraId="53126276">
      <w:pPr>
        <w:pStyle w:val="43"/>
        <w:bidi w:val="0"/>
        <w:ind w:left="0" w:leftChars="0" w:firstLine="0" w:firstLineChars="0"/>
        <w:rPr>
          <w:rFonts w:hint="default"/>
          <w:color w:val="auto"/>
          <w:lang w:val="en-US" w:eastAsia="zh-CN"/>
        </w:rPr>
      </w:pPr>
      <w:r>
        <w:rPr>
          <w:rFonts w:hint="eastAsia"/>
          <w:color w:val="auto"/>
          <w:lang w:val="en-US" w:eastAsia="zh-CN"/>
        </w:rPr>
        <w:t>评价</w:t>
      </w:r>
    </w:p>
    <w:p w14:paraId="05FACA71">
      <w:pPr>
        <w:pStyle w:val="110"/>
        <w:bidi w:val="0"/>
        <w:rPr>
          <w:rFonts w:hint="eastAsia"/>
          <w:color w:val="auto"/>
          <w:lang w:val="en-US" w:eastAsia="zh-CN"/>
        </w:rPr>
      </w:pPr>
      <w:r>
        <w:rPr>
          <w:rFonts w:hint="eastAsia"/>
          <w:color w:val="auto"/>
          <w:lang w:val="en-US" w:eastAsia="zh-CN"/>
        </w:rPr>
        <w:t>评价采取会议评价和现场核查相结合的方式。</w:t>
      </w:r>
    </w:p>
    <w:p w14:paraId="5FCEF6BD">
      <w:pPr>
        <w:pStyle w:val="110"/>
        <w:bidi w:val="0"/>
        <w:rPr>
          <w:rFonts w:hint="eastAsia"/>
          <w:color w:val="auto"/>
          <w:lang w:val="en-US" w:eastAsia="zh-CN"/>
        </w:rPr>
      </w:pPr>
      <w:r>
        <w:rPr>
          <w:rFonts w:hint="eastAsia"/>
          <w:color w:val="auto"/>
          <w:lang w:val="en-US" w:eastAsia="zh-CN"/>
        </w:rPr>
        <w:t>企业根据附录A的评价指标提供各项证明材料。评价工作小组对企业提供的证明材料的有效性和真实性进行会议评价。</w:t>
      </w:r>
    </w:p>
    <w:p w14:paraId="1994F19A">
      <w:pPr>
        <w:pStyle w:val="110"/>
        <w:bidi w:val="0"/>
        <w:rPr>
          <w:rFonts w:hint="eastAsia"/>
          <w:color w:val="auto"/>
          <w:lang w:val="en-US" w:eastAsia="zh-CN"/>
        </w:rPr>
      </w:pPr>
      <w:r>
        <w:rPr>
          <w:rFonts w:hint="eastAsia"/>
          <w:color w:val="auto"/>
          <w:lang w:val="en-US" w:eastAsia="zh-CN"/>
        </w:rPr>
        <w:t>通过会议评价的评价对象，可进入现场核查环节。现场核查环节由评价工作小组到企业现场按附录B查看企业现场。</w:t>
      </w:r>
    </w:p>
    <w:p w14:paraId="0DC3DBE6">
      <w:pPr>
        <w:pStyle w:val="110"/>
        <w:bidi w:val="0"/>
        <w:rPr>
          <w:rFonts w:hint="eastAsia"/>
          <w:color w:val="auto"/>
          <w:lang w:val="en-US" w:eastAsia="zh-CN"/>
        </w:rPr>
      </w:pPr>
      <w:r>
        <w:rPr>
          <w:rFonts w:hint="eastAsia"/>
          <w:color w:val="auto"/>
          <w:lang w:val="en-US" w:eastAsia="zh-CN"/>
        </w:rPr>
        <w:t>实施评价前，应先根据否决项要求对被评企业的合规性指标进行确认，发现被评企业存在合规性问题的，应“一票否决”，终止评价。</w:t>
      </w:r>
    </w:p>
    <w:p w14:paraId="19F5E716">
      <w:pPr>
        <w:pStyle w:val="110"/>
        <w:bidi w:val="0"/>
        <w:rPr>
          <w:rFonts w:hint="eastAsia"/>
          <w:color w:val="auto"/>
          <w:lang w:val="en-US" w:eastAsia="zh-CN"/>
        </w:rPr>
      </w:pPr>
      <w:r>
        <w:rPr>
          <w:rFonts w:hint="eastAsia"/>
          <w:color w:val="auto"/>
          <w:lang w:val="en-US" w:eastAsia="zh-CN"/>
        </w:rPr>
        <w:t>评价后，组长负责汇总、计算各评价人员打分，向企业公告评价结果。</w:t>
      </w:r>
    </w:p>
    <w:p w14:paraId="5BDCD6E8">
      <w:pPr>
        <w:pStyle w:val="43"/>
        <w:bidi w:val="0"/>
        <w:ind w:left="0" w:leftChars="0" w:firstLine="0" w:firstLineChars="0"/>
        <w:rPr>
          <w:rFonts w:hint="default"/>
          <w:color w:val="auto"/>
          <w:lang w:val="en-US" w:eastAsia="zh-CN"/>
        </w:rPr>
      </w:pPr>
      <w:r>
        <w:rPr>
          <w:rFonts w:hint="eastAsia"/>
          <w:color w:val="auto"/>
          <w:lang w:val="en-US" w:eastAsia="zh-CN"/>
        </w:rPr>
        <w:t>异议处理</w:t>
      </w:r>
    </w:p>
    <w:p w14:paraId="25BD3731">
      <w:pPr>
        <w:tabs>
          <w:tab w:val="left" w:pos="1715"/>
        </w:tabs>
        <w:bidi w:val="0"/>
        <w:ind w:firstLine="420" w:firstLineChars="200"/>
        <w:jc w:val="left"/>
        <w:rPr>
          <w:rFonts w:hint="eastAsia"/>
          <w:color w:val="auto"/>
          <w:lang w:val="en-US" w:eastAsia="zh-CN"/>
        </w:rPr>
      </w:pPr>
      <w:r>
        <w:rPr>
          <w:rFonts w:hint="eastAsia"/>
          <w:color w:val="auto"/>
          <w:lang w:val="en-US" w:eastAsia="zh-CN"/>
        </w:rPr>
        <w:t>出现异议时，应组织2名以上技术人员针对异议的情况对评价过程材料进行复核。不得选择与该异议相关的评价工作小组成员作为复核技术人员。复核后确定原评价结果存在错误的，应予以改正并告知企业最终结果，必要时重新组织评价工作小组进行重新评价。</w:t>
      </w:r>
    </w:p>
    <w:p w14:paraId="3D3A1EF2">
      <w:pPr>
        <w:pStyle w:val="43"/>
        <w:bidi w:val="0"/>
        <w:ind w:left="0" w:leftChars="0" w:firstLine="0" w:firstLineChars="0"/>
        <w:rPr>
          <w:rFonts w:hint="default"/>
          <w:color w:val="auto"/>
          <w:lang w:val="en-US" w:eastAsia="zh-CN"/>
        </w:rPr>
      </w:pPr>
      <w:r>
        <w:rPr>
          <w:rFonts w:hint="eastAsia"/>
          <w:color w:val="auto"/>
          <w:lang w:val="en-US" w:eastAsia="zh-CN"/>
        </w:rPr>
        <w:t>评价报告</w:t>
      </w:r>
    </w:p>
    <w:p w14:paraId="4101E583">
      <w:pPr>
        <w:pStyle w:val="22"/>
        <w:rPr>
          <w:rFonts w:hint="eastAsia"/>
          <w:color w:val="auto"/>
          <w:lang w:val="en-US" w:eastAsia="zh-CN"/>
        </w:rPr>
      </w:pPr>
      <w:r>
        <w:rPr>
          <w:rFonts w:hint="eastAsia"/>
          <w:color w:val="auto"/>
          <w:lang w:val="en-US" w:eastAsia="zh-CN"/>
        </w:rPr>
        <w:t>评价结果应形成评价报告，报告内容包括但不限于：</w:t>
      </w:r>
    </w:p>
    <w:p w14:paraId="00D00F84">
      <w:pPr>
        <w:pStyle w:val="22"/>
        <w:rPr>
          <w:rFonts w:hint="eastAsia"/>
          <w:color w:val="auto"/>
          <w:lang w:val="en-US" w:eastAsia="zh-CN"/>
        </w:rPr>
      </w:pPr>
      <w:r>
        <w:rPr>
          <w:rFonts w:hint="eastAsia"/>
          <w:color w:val="auto"/>
          <w:lang w:val="en-US" w:eastAsia="zh-CN"/>
        </w:rPr>
        <w:t>——评价人员的基本信息；</w:t>
      </w:r>
    </w:p>
    <w:p w14:paraId="25E81A97">
      <w:pPr>
        <w:pStyle w:val="22"/>
        <w:rPr>
          <w:rFonts w:hint="eastAsia"/>
          <w:color w:val="auto"/>
          <w:lang w:val="en-US" w:eastAsia="zh-CN"/>
        </w:rPr>
      </w:pPr>
      <w:r>
        <w:rPr>
          <w:rFonts w:hint="eastAsia"/>
          <w:color w:val="auto"/>
          <w:lang w:val="en-US" w:eastAsia="zh-CN"/>
        </w:rPr>
        <w:t>——评价目的；</w:t>
      </w:r>
    </w:p>
    <w:p w14:paraId="440774AD">
      <w:pPr>
        <w:pStyle w:val="22"/>
        <w:rPr>
          <w:rFonts w:hint="eastAsia"/>
          <w:color w:val="auto"/>
          <w:lang w:val="en-US" w:eastAsia="zh-CN"/>
        </w:rPr>
      </w:pPr>
      <w:r>
        <w:rPr>
          <w:rFonts w:hint="eastAsia"/>
          <w:color w:val="auto"/>
          <w:lang w:val="en-US" w:eastAsia="zh-CN"/>
        </w:rPr>
        <w:t>——被评价对象的基本情况；</w:t>
      </w:r>
    </w:p>
    <w:p w14:paraId="023759FC">
      <w:pPr>
        <w:pStyle w:val="22"/>
        <w:rPr>
          <w:rFonts w:hint="eastAsia"/>
          <w:color w:val="auto"/>
          <w:lang w:val="en-US" w:eastAsia="zh-CN"/>
        </w:rPr>
      </w:pPr>
      <w:r>
        <w:rPr>
          <w:rFonts w:hint="eastAsia"/>
          <w:color w:val="auto"/>
          <w:lang w:val="en-US" w:eastAsia="zh-CN"/>
        </w:rPr>
        <w:t>——采用的途径和方法；</w:t>
      </w:r>
    </w:p>
    <w:p w14:paraId="4E0C2B35">
      <w:pPr>
        <w:pStyle w:val="22"/>
        <w:rPr>
          <w:rFonts w:hint="eastAsia"/>
          <w:color w:val="auto"/>
          <w:lang w:val="en-US" w:eastAsia="zh-CN"/>
        </w:rPr>
      </w:pPr>
      <w:r>
        <w:rPr>
          <w:rFonts w:hint="eastAsia"/>
          <w:color w:val="auto"/>
          <w:lang w:val="en-US" w:eastAsia="zh-CN"/>
        </w:rPr>
        <w:t>——实施评价的时间；</w:t>
      </w:r>
    </w:p>
    <w:p w14:paraId="6447133E">
      <w:pPr>
        <w:pStyle w:val="22"/>
        <w:rPr>
          <w:rFonts w:hint="default"/>
          <w:color w:val="auto"/>
          <w:lang w:val="en-US" w:eastAsia="zh-CN"/>
        </w:rPr>
      </w:pPr>
      <w:r>
        <w:rPr>
          <w:rFonts w:hint="eastAsia"/>
          <w:color w:val="auto"/>
          <w:lang w:val="en-US" w:eastAsia="zh-CN"/>
        </w:rPr>
        <w:t>——评价数据的来源；</w:t>
      </w:r>
    </w:p>
    <w:p w14:paraId="784D093F">
      <w:pPr>
        <w:pStyle w:val="22"/>
        <w:rPr>
          <w:rFonts w:hint="eastAsia"/>
          <w:color w:val="auto"/>
          <w:lang w:val="en-US" w:eastAsia="zh-CN"/>
        </w:rPr>
      </w:pPr>
      <w:r>
        <w:rPr>
          <w:rFonts w:hint="eastAsia"/>
          <w:color w:val="auto"/>
          <w:lang w:val="en-US" w:eastAsia="zh-CN"/>
        </w:rPr>
        <w:t>——评价的过程概述；</w:t>
      </w:r>
    </w:p>
    <w:p w14:paraId="20A2D2E8">
      <w:pPr>
        <w:pStyle w:val="22"/>
        <w:rPr>
          <w:rFonts w:hint="eastAsia"/>
          <w:color w:val="auto"/>
          <w:lang w:val="en-US" w:eastAsia="zh-CN"/>
        </w:rPr>
      </w:pPr>
      <w:r>
        <w:rPr>
          <w:rFonts w:hint="eastAsia"/>
          <w:color w:val="auto"/>
          <w:lang w:val="en-US" w:eastAsia="zh-CN"/>
        </w:rPr>
        <w:t>——评价的结果。</w:t>
      </w:r>
    </w:p>
    <w:p w14:paraId="1E2D6F9A">
      <w:pPr>
        <w:pStyle w:val="42"/>
        <w:spacing w:before="312" w:after="312"/>
        <w:rPr>
          <w:rFonts w:hint="eastAsia"/>
          <w:color w:val="auto"/>
          <w:lang w:val="en-US" w:eastAsia="zh-CN"/>
        </w:rPr>
      </w:pPr>
      <w:r>
        <w:rPr>
          <w:rFonts w:hint="eastAsia"/>
          <w:color w:val="auto"/>
          <w:lang w:val="en-US" w:eastAsia="zh-CN"/>
        </w:rPr>
        <w:t>评价文档管理</w:t>
      </w:r>
    </w:p>
    <w:p w14:paraId="7EA74E29">
      <w:pPr>
        <w:pStyle w:val="122"/>
        <w:bidi w:val="0"/>
        <w:rPr>
          <w:rFonts w:hint="eastAsia"/>
          <w:color w:val="auto"/>
          <w:lang w:val="en-US" w:eastAsia="zh-CN"/>
        </w:rPr>
      </w:pPr>
      <w:r>
        <w:rPr>
          <w:rFonts w:hint="eastAsia"/>
          <w:color w:val="auto"/>
          <w:lang w:val="en-US" w:eastAsia="zh-CN"/>
        </w:rPr>
        <w:t>评价过程所形成的原始记录应有专人保管，保管期限不少于3年。</w:t>
      </w:r>
    </w:p>
    <w:p w14:paraId="61346E56">
      <w:pPr>
        <w:pStyle w:val="122"/>
        <w:bidi w:val="0"/>
        <w:rPr>
          <w:rFonts w:hint="eastAsia"/>
          <w:color w:val="auto"/>
          <w:lang w:val="en-US" w:eastAsia="zh-CN"/>
        </w:rPr>
      </w:pPr>
      <w:r>
        <w:rPr>
          <w:rFonts w:hint="eastAsia"/>
          <w:color w:val="auto"/>
          <w:lang w:val="en-US" w:eastAsia="zh-CN"/>
        </w:rPr>
        <w:t>应采取有效措施对文档进行安全保管，并切实加强对涉及企业商业秘密的资料保护。</w:t>
      </w:r>
    </w:p>
    <w:p w14:paraId="766B406D">
      <w:pPr>
        <w:pStyle w:val="122"/>
        <w:bidi w:val="0"/>
        <w:rPr>
          <w:rFonts w:hint="default"/>
          <w:color w:val="auto"/>
          <w:lang w:val="en-US" w:eastAsia="zh-CN"/>
        </w:rPr>
      </w:pPr>
      <w:r>
        <w:rPr>
          <w:rFonts w:hint="eastAsia"/>
          <w:color w:val="auto"/>
          <w:lang w:val="en-US" w:eastAsia="zh-CN"/>
        </w:rPr>
        <w:t>第三方专业机构应制定文档的借阅、销毁制度并按要求执行。</w:t>
      </w:r>
    </w:p>
    <w:p w14:paraId="0F7C1C2C">
      <w:pPr>
        <w:pStyle w:val="42"/>
        <w:spacing w:before="312" w:after="312"/>
        <w:rPr>
          <w:rFonts w:hint="default"/>
          <w:color w:val="auto"/>
          <w:lang w:val="en-US" w:eastAsia="zh-CN"/>
        </w:rPr>
      </w:pPr>
      <w:r>
        <w:rPr>
          <w:rFonts w:hint="eastAsia"/>
          <w:color w:val="auto"/>
          <w:lang w:val="en-US" w:eastAsia="zh-CN"/>
        </w:rPr>
        <w:t>评价质量的持续改进</w:t>
      </w:r>
    </w:p>
    <w:p w14:paraId="6D32DAB4">
      <w:pPr>
        <w:pStyle w:val="122"/>
        <w:bidi w:val="0"/>
        <w:rPr>
          <w:rFonts w:hint="eastAsia"/>
          <w:color w:val="auto"/>
          <w:lang w:val="en-US" w:eastAsia="zh-CN"/>
        </w:rPr>
      </w:pPr>
      <w:r>
        <w:rPr>
          <w:rFonts w:hint="eastAsia"/>
          <w:color w:val="auto"/>
          <w:lang w:val="en-US" w:eastAsia="zh-CN"/>
        </w:rPr>
        <w:t>第三方专业机构应设立监督机构，由专职人员负责，监督评价工作的运行情况，确保评价的客观性和公正性。</w:t>
      </w:r>
    </w:p>
    <w:p w14:paraId="412814A1">
      <w:pPr>
        <w:pStyle w:val="122"/>
        <w:bidi w:val="0"/>
        <w:rPr>
          <w:rFonts w:hint="eastAsia"/>
          <w:color w:val="auto"/>
          <w:lang w:val="en-US" w:eastAsia="zh-CN"/>
        </w:rPr>
      </w:pPr>
      <w:r>
        <w:rPr>
          <w:rFonts w:hint="eastAsia"/>
          <w:color w:val="auto"/>
          <w:lang w:val="en-US" w:eastAsia="zh-CN"/>
        </w:rPr>
        <w:t>应持续修正各项评价指标、评价要求及其赋值。</w:t>
      </w:r>
    </w:p>
    <w:p w14:paraId="464100BE">
      <w:pPr>
        <w:pStyle w:val="122"/>
        <w:bidi w:val="0"/>
        <w:rPr>
          <w:rFonts w:hint="default"/>
          <w:color w:val="auto"/>
          <w:lang w:val="en-US" w:eastAsia="zh-CN"/>
        </w:rPr>
      </w:pPr>
      <w:r>
        <w:rPr>
          <w:rFonts w:hint="eastAsia"/>
          <w:color w:val="auto"/>
          <w:lang w:val="en-US" w:eastAsia="zh-CN"/>
        </w:rPr>
        <w:t>应总结每次评价过程，分析评价方法的有效性、可靠性，促进后续评价工作的评价质量持续提升。</w:t>
      </w:r>
    </w:p>
    <w:p w14:paraId="23FFC26F">
      <w:pPr>
        <w:pStyle w:val="60"/>
        <w:numPr>
          <w:ilvl w:val="2"/>
          <w:numId w:val="0"/>
        </w:numPr>
        <w:bidi w:val="0"/>
        <w:ind w:leftChars="0"/>
        <w:rPr>
          <w:rFonts w:hint="eastAsia"/>
          <w:color w:val="FF0000"/>
          <w:lang w:val="en-US" w:eastAsia="zh-CN"/>
        </w:rPr>
      </w:pPr>
    </w:p>
    <w:p w14:paraId="00E2A5AE">
      <w:pPr>
        <w:pStyle w:val="60"/>
        <w:numPr>
          <w:ilvl w:val="2"/>
          <w:numId w:val="0"/>
        </w:numPr>
        <w:bidi w:val="0"/>
        <w:ind w:leftChars="0"/>
        <w:rPr>
          <w:rFonts w:hint="eastAsia"/>
          <w:color w:val="FF0000"/>
          <w:lang w:val="en-US" w:eastAsia="zh-CN"/>
        </w:rPr>
      </w:pPr>
    </w:p>
    <w:p w14:paraId="2FECC12A">
      <w:pPr>
        <w:pStyle w:val="60"/>
        <w:numPr>
          <w:ilvl w:val="2"/>
          <w:numId w:val="0"/>
        </w:numPr>
        <w:bidi w:val="0"/>
        <w:ind w:leftChars="0"/>
        <w:rPr>
          <w:rFonts w:hint="eastAsia"/>
          <w:color w:val="FF0000"/>
          <w:lang w:val="en-US" w:eastAsia="zh-CN"/>
        </w:rPr>
      </w:pPr>
    </w:p>
    <w:p w14:paraId="0B11A877">
      <w:pPr>
        <w:pStyle w:val="60"/>
        <w:numPr>
          <w:ilvl w:val="2"/>
          <w:numId w:val="0"/>
        </w:numPr>
        <w:bidi w:val="0"/>
        <w:ind w:leftChars="0"/>
        <w:rPr>
          <w:rFonts w:hint="eastAsia"/>
          <w:color w:val="FF0000"/>
          <w:lang w:val="en-US" w:eastAsia="zh-CN"/>
        </w:rPr>
      </w:pPr>
    </w:p>
    <w:p w14:paraId="628B1D1E">
      <w:pPr>
        <w:pStyle w:val="60"/>
        <w:numPr>
          <w:ilvl w:val="2"/>
          <w:numId w:val="0"/>
        </w:numPr>
        <w:bidi w:val="0"/>
        <w:ind w:leftChars="0"/>
        <w:rPr>
          <w:rFonts w:hint="eastAsia"/>
          <w:color w:val="FF0000"/>
          <w:lang w:val="en-US" w:eastAsia="zh-CN"/>
        </w:rPr>
      </w:pPr>
    </w:p>
    <w:p w14:paraId="0DB4F13F">
      <w:pPr>
        <w:pStyle w:val="60"/>
        <w:numPr>
          <w:ilvl w:val="2"/>
          <w:numId w:val="0"/>
        </w:numPr>
        <w:bidi w:val="0"/>
        <w:ind w:leftChars="0"/>
        <w:rPr>
          <w:rFonts w:hint="eastAsia"/>
          <w:color w:val="FF0000"/>
          <w:lang w:val="en-US" w:eastAsia="zh-CN"/>
        </w:rPr>
      </w:pPr>
    </w:p>
    <w:p w14:paraId="554265DC">
      <w:pPr>
        <w:pStyle w:val="60"/>
        <w:numPr>
          <w:ilvl w:val="2"/>
          <w:numId w:val="0"/>
        </w:numPr>
        <w:bidi w:val="0"/>
        <w:ind w:leftChars="0"/>
        <w:rPr>
          <w:rFonts w:hint="eastAsia"/>
          <w:color w:val="FF0000"/>
          <w:lang w:val="en-US" w:eastAsia="zh-CN"/>
        </w:rPr>
      </w:pPr>
    </w:p>
    <w:p w14:paraId="4825C836">
      <w:pPr>
        <w:pStyle w:val="60"/>
        <w:numPr>
          <w:ilvl w:val="2"/>
          <w:numId w:val="0"/>
        </w:numPr>
        <w:bidi w:val="0"/>
        <w:ind w:leftChars="0"/>
        <w:rPr>
          <w:rFonts w:hint="eastAsia"/>
          <w:color w:val="FF0000"/>
          <w:lang w:val="en-US" w:eastAsia="zh-CN"/>
        </w:rPr>
      </w:pPr>
    </w:p>
    <w:p w14:paraId="57F77311">
      <w:pPr>
        <w:pStyle w:val="60"/>
        <w:numPr>
          <w:ilvl w:val="2"/>
          <w:numId w:val="0"/>
        </w:numPr>
        <w:bidi w:val="0"/>
        <w:ind w:leftChars="0"/>
        <w:rPr>
          <w:rFonts w:hint="eastAsia"/>
          <w:color w:val="FF0000"/>
          <w:lang w:val="en-US" w:eastAsia="zh-CN"/>
        </w:rPr>
      </w:pPr>
    </w:p>
    <w:p w14:paraId="08B9FFE7">
      <w:pPr>
        <w:pStyle w:val="60"/>
        <w:numPr>
          <w:ilvl w:val="2"/>
          <w:numId w:val="0"/>
        </w:numPr>
        <w:bidi w:val="0"/>
        <w:ind w:leftChars="0"/>
        <w:rPr>
          <w:rFonts w:hint="eastAsia"/>
          <w:color w:val="FF0000"/>
          <w:lang w:val="en-US" w:eastAsia="zh-CN"/>
        </w:rPr>
      </w:pPr>
    </w:p>
    <w:p w14:paraId="123022BC">
      <w:pPr>
        <w:pStyle w:val="60"/>
        <w:numPr>
          <w:ilvl w:val="2"/>
          <w:numId w:val="0"/>
        </w:numPr>
        <w:bidi w:val="0"/>
        <w:ind w:leftChars="0"/>
        <w:rPr>
          <w:rFonts w:hint="eastAsia"/>
          <w:color w:val="FF0000"/>
          <w:lang w:val="en-US" w:eastAsia="zh-CN"/>
        </w:rPr>
      </w:pPr>
    </w:p>
    <w:p w14:paraId="4C5BB45C">
      <w:pPr>
        <w:pStyle w:val="60"/>
        <w:numPr>
          <w:ilvl w:val="2"/>
          <w:numId w:val="0"/>
        </w:numPr>
        <w:bidi w:val="0"/>
        <w:ind w:leftChars="0"/>
        <w:rPr>
          <w:rFonts w:hint="eastAsia"/>
          <w:color w:val="auto"/>
          <w:lang w:val="en-US" w:eastAsia="zh-CN"/>
        </w:rPr>
      </w:pPr>
    </w:p>
    <w:p w14:paraId="4C7F224E">
      <w:pPr>
        <w:pStyle w:val="60"/>
        <w:numPr>
          <w:ilvl w:val="2"/>
          <w:numId w:val="0"/>
        </w:numPr>
        <w:bidi w:val="0"/>
        <w:ind w:leftChars="0"/>
        <w:rPr>
          <w:rFonts w:hint="eastAsia"/>
          <w:color w:val="auto"/>
          <w:lang w:val="en-US" w:eastAsia="zh-CN"/>
        </w:rPr>
        <w:sectPr>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pPr>
    </w:p>
    <w:p w14:paraId="7D20C964">
      <w:pPr>
        <w:pStyle w:val="60"/>
        <w:numPr>
          <w:ilvl w:val="2"/>
          <w:numId w:val="0"/>
        </w:numPr>
        <w:bidi w:val="0"/>
        <w:ind w:leftChars="0"/>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附 录 A</w:t>
      </w:r>
    </w:p>
    <w:p w14:paraId="40AA6583">
      <w:pPr>
        <w:pStyle w:val="60"/>
        <w:numPr>
          <w:ilvl w:val="2"/>
          <w:numId w:val="0"/>
        </w:numPr>
        <w:bidi w:val="0"/>
        <w:ind w:leftChars="0"/>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(规范性附录)</w:t>
      </w:r>
    </w:p>
    <w:p w14:paraId="4241EE64">
      <w:pPr>
        <w:pStyle w:val="60"/>
        <w:keepNext w:val="0"/>
        <w:keepLines w:val="0"/>
        <w:pageBreakBefore w:val="0"/>
        <w:widowControl/>
        <w:numPr>
          <w:ilvl w:val="2"/>
          <w:numId w:val="0"/>
        </w:numPr>
        <w:kinsoku/>
        <w:wordWrap/>
        <w:overflowPunct/>
        <w:topLinePunct w:val="0"/>
        <w:autoSpaceDE/>
        <w:autoSpaceDN/>
        <w:bidi w:val="0"/>
        <w:adjustRightInd/>
        <w:snapToGrid w:val="0"/>
        <w:spacing w:before="0" w:after="283"/>
        <w:ind w:leftChars="0"/>
        <w:jc w:val="center"/>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资料评价指标及评价要求</w:t>
      </w:r>
    </w:p>
    <w:p w14:paraId="74B8F411">
      <w:pPr>
        <w:pStyle w:val="60"/>
        <w:numPr>
          <w:ilvl w:val="2"/>
          <w:numId w:val="0"/>
        </w:numPr>
        <w:bidi w:val="0"/>
        <w:ind w:leftChars="0" w:firstLine="420"/>
        <w:jc w:val="both"/>
        <w:rPr>
          <w:rFonts w:hint="eastAsia"/>
          <w:color w:val="auto"/>
          <w:lang w:val="en-US" w:eastAsia="zh-CN"/>
        </w:rPr>
      </w:pPr>
      <w:r>
        <w:rPr>
          <w:rFonts w:hint="eastAsia"/>
          <w:color w:val="auto"/>
          <w:lang w:val="en-US" w:eastAsia="zh-CN"/>
        </w:rPr>
        <w:t>资料评价指标、评价要求及分值见表A.1。</w:t>
      </w:r>
    </w:p>
    <w:p w14:paraId="71DE4593">
      <w:pPr>
        <w:pStyle w:val="60"/>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firstLine="0"/>
        <w:jc w:val="center"/>
        <w:textAlignment w:val="auto"/>
        <w:rPr>
          <w:rFonts w:hint="eastAsia" w:ascii="黑体" w:hAnsi="黑体" w:eastAsia="黑体" w:cs="黑体"/>
          <w:color w:val="auto"/>
          <w:lang w:val="en-US" w:eastAsia="zh-CN"/>
        </w:rPr>
      </w:pPr>
      <w:r>
        <w:rPr>
          <w:rFonts w:hint="eastAsia" w:ascii="黑体" w:hAnsi="黑体" w:eastAsia="黑体" w:cs="黑体"/>
          <w:color w:val="auto"/>
          <w:sz w:val="21"/>
          <w:szCs w:val="21"/>
          <w:lang w:val="en-US" w:eastAsia="zh-CN"/>
        </w:rPr>
        <w:t>表 A.1 资料</w:t>
      </w:r>
      <w:r>
        <w:rPr>
          <w:rFonts w:hint="eastAsia" w:ascii="黑体" w:hAnsi="黑体" w:eastAsia="黑体" w:cs="黑体"/>
          <w:color w:val="auto"/>
          <w:lang w:val="en-US" w:eastAsia="zh-CN"/>
        </w:rPr>
        <w:t>评价指标及评价要求</w:t>
      </w:r>
    </w:p>
    <w:tbl>
      <w:tblPr>
        <w:tblStyle w:val="3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9"/>
        <w:gridCol w:w="1450"/>
        <w:gridCol w:w="6316"/>
        <w:gridCol w:w="4767"/>
        <w:gridCol w:w="1000"/>
      </w:tblGrid>
      <w:tr w14:paraId="72A8E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0907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指标名称</w:t>
            </w:r>
          </w:p>
        </w:tc>
        <w:tc>
          <w:tcPr>
            <w:tcW w:w="6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DE2F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评价要求</w:t>
            </w:r>
          </w:p>
        </w:tc>
        <w:tc>
          <w:tcPr>
            <w:tcW w:w="4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351D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对应的证明材料</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F8D8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单项分值</w:t>
            </w:r>
          </w:p>
        </w:tc>
      </w:tr>
      <w:tr w14:paraId="019B2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FC4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一级指标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63E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二级指标</w:t>
            </w:r>
          </w:p>
        </w:tc>
        <w:tc>
          <w:tcPr>
            <w:tcW w:w="6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726D4">
            <w:pPr>
              <w:jc w:val="center"/>
              <w:rPr>
                <w:rFonts w:hint="eastAsia" w:ascii="宋体" w:hAnsi="宋体" w:eastAsia="宋体" w:cs="宋体"/>
                <w:b w:val="0"/>
                <w:bCs w:val="0"/>
                <w:i w:val="0"/>
                <w:iCs w:val="0"/>
                <w:color w:val="000000"/>
                <w:sz w:val="18"/>
                <w:szCs w:val="18"/>
                <w:u w:val="none"/>
              </w:rPr>
            </w:pPr>
          </w:p>
        </w:tc>
        <w:tc>
          <w:tcPr>
            <w:tcW w:w="4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CBAA1">
            <w:pPr>
              <w:jc w:val="center"/>
              <w:rPr>
                <w:rFonts w:hint="eastAsia" w:ascii="宋体" w:hAnsi="宋体" w:eastAsia="宋体" w:cs="宋体"/>
                <w:b w:val="0"/>
                <w:bCs w:val="0"/>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ED4F2">
            <w:pPr>
              <w:jc w:val="center"/>
              <w:rPr>
                <w:rFonts w:hint="eastAsia" w:ascii="宋体" w:hAnsi="宋体" w:eastAsia="宋体" w:cs="宋体"/>
                <w:b w:val="0"/>
                <w:bCs w:val="0"/>
                <w:i w:val="0"/>
                <w:iCs w:val="0"/>
                <w:color w:val="000000"/>
                <w:sz w:val="18"/>
                <w:szCs w:val="18"/>
                <w:u w:val="none"/>
              </w:rPr>
            </w:pPr>
          </w:p>
        </w:tc>
      </w:tr>
      <w:tr w14:paraId="11A1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09" w:type="dxa"/>
            <w:vMerge w:val="restart"/>
            <w:tcBorders>
              <w:top w:val="single" w:color="000000" w:sz="4" w:space="0"/>
              <w:left w:val="single" w:color="000000" w:sz="4" w:space="0"/>
              <w:right w:val="single" w:color="000000" w:sz="4" w:space="0"/>
            </w:tcBorders>
            <w:shd w:val="clear" w:color="auto" w:fill="auto"/>
            <w:vAlign w:val="center"/>
          </w:tcPr>
          <w:p w14:paraId="4B22159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cs="宋体"/>
                <w:color w:val="auto"/>
                <w:sz w:val="18"/>
                <w:szCs w:val="18"/>
                <w:vertAlign w:val="baseline"/>
                <w:lang w:val="en-US" w:eastAsia="zh-CN"/>
              </w:rPr>
              <w:t xml:space="preserve">0 </w:t>
            </w:r>
            <w:r>
              <w:rPr>
                <w:rFonts w:hint="eastAsia" w:ascii="宋体" w:hAnsi="宋体" w:eastAsia="宋体" w:cs="宋体"/>
                <w:color w:val="auto"/>
                <w:sz w:val="18"/>
                <w:szCs w:val="18"/>
                <w:vertAlign w:val="baseline"/>
                <w:lang w:val="en-US" w:eastAsia="zh-CN"/>
              </w:rPr>
              <w:t>合规性要求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0267">
            <w:pPr>
              <w:jc w:val="left"/>
              <w:rPr>
                <w:rFonts w:hint="eastAsia" w:ascii="Times New Roman" w:hAnsi="Times New Roman" w:eastAsia="宋体" w:cs="Times New Roman"/>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0.1 企业资质</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A0AA">
            <w:pPr>
              <w:pStyle w:val="56"/>
              <w:numPr>
                <w:ilvl w:val="0"/>
                <w:numId w:val="0"/>
              </w:numPr>
              <w:bidi w:val="0"/>
              <w:ind w:left="0" w:leftChars="0" w:firstLine="0" w:firstLineChars="0"/>
              <w:jc w:val="left"/>
              <w:rPr>
                <w:rFonts w:hint="eastAsia" w:ascii="宋体" w:hAnsi="宋体" w:eastAsia="宋体" w:cs="宋体"/>
                <w:color w:val="auto"/>
                <w:kern w:val="0"/>
                <w:sz w:val="18"/>
                <w:szCs w:val="18"/>
                <w:lang w:val="en-US" w:eastAsia="zh-CN" w:bidi="ar-SA"/>
              </w:rPr>
            </w:pPr>
            <w:r>
              <w:rPr>
                <w:rFonts w:hint="eastAsia" w:hAnsi="宋体" w:cs="宋体"/>
                <w:color w:val="auto"/>
                <w:kern w:val="0"/>
                <w:sz w:val="18"/>
                <w:szCs w:val="18"/>
                <w:lang w:val="en-US" w:eastAsia="zh-CN" w:bidi="ar-SA"/>
              </w:rPr>
              <w:t>0.1.1  企业不具有独立法人资格，或未获得相关行政许可资质，又或企业在建设和经营过程中违反了有关法律、法规和主管部门政策要求。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0C39">
            <w:pPr>
              <w:jc w:val="both"/>
              <w:rPr>
                <w:rFonts w:hint="eastAsia" w:ascii="宋体" w:hAnsi="宋体" w:eastAsia="宋体" w:cs="宋体"/>
                <w:b w:val="0"/>
                <w:bCs w:val="0"/>
                <w:i w:val="0"/>
                <w:iCs w:val="0"/>
                <w:color w:val="000000"/>
                <w:sz w:val="18"/>
                <w:szCs w:val="18"/>
                <w:u w:val="none"/>
              </w:rPr>
            </w:pPr>
          </w:p>
        </w:tc>
        <w:tc>
          <w:tcPr>
            <w:tcW w:w="1000" w:type="dxa"/>
            <w:vMerge w:val="restart"/>
            <w:tcBorders>
              <w:top w:val="single" w:color="000000" w:sz="4" w:space="0"/>
              <w:left w:val="single" w:color="000000" w:sz="4" w:space="0"/>
              <w:right w:val="single" w:color="000000" w:sz="4" w:space="0"/>
            </w:tcBorders>
            <w:shd w:val="clear" w:color="auto" w:fill="auto"/>
            <w:vAlign w:val="center"/>
          </w:tcPr>
          <w:p w14:paraId="55B7053A">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否决项</w:t>
            </w:r>
          </w:p>
        </w:tc>
      </w:tr>
      <w:tr w14:paraId="6EC7A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09" w:type="dxa"/>
            <w:vMerge w:val="continue"/>
            <w:tcBorders>
              <w:left w:val="single" w:color="000000" w:sz="4" w:space="0"/>
              <w:right w:val="single" w:color="000000" w:sz="4" w:space="0"/>
            </w:tcBorders>
            <w:shd w:val="clear" w:color="auto" w:fill="auto"/>
            <w:vAlign w:val="center"/>
          </w:tcPr>
          <w:p w14:paraId="50DE1E32">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p>
        </w:tc>
        <w:tc>
          <w:tcPr>
            <w:tcW w:w="1450" w:type="dxa"/>
            <w:vMerge w:val="restart"/>
            <w:tcBorders>
              <w:top w:val="single" w:color="000000" w:sz="4" w:space="0"/>
              <w:left w:val="single" w:color="000000" w:sz="4" w:space="0"/>
              <w:right w:val="single" w:color="000000" w:sz="4" w:space="0"/>
            </w:tcBorders>
            <w:shd w:val="clear" w:color="auto" w:fill="auto"/>
            <w:vAlign w:val="center"/>
          </w:tcPr>
          <w:p w14:paraId="6B2C5416">
            <w:pPr>
              <w:keepNext w:val="0"/>
              <w:keepLines w:val="0"/>
              <w:widowControl/>
              <w:suppressLineNumbers w:val="0"/>
              <w:jc w:val="both"/>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cs="宋体"/>
                <w:color w:val="auto"/>
                <w:sz w:val="18"/>
                <w:szCs w:val="18"/>
                <w:vertAlign w:val="baseline"/>
                <w:lang w:val="en-US" w:eastAsia="zh-CN"/>
              </w:rPr>
              <w:t>0.2 合规性</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2C05">
            <w:pPr>
              <w:pStyle w:val="56"/>
              <w:numPr>
                <w:ilvl w:val="0"/>
                <w:numId w:val="0"/>
              </w:numPr>
              <w:bidi w:val="0"/>
              <w:ind w:left="0" w:leftChars="0" w:firstLine="0" w:firstLineChars="0"/>
              <w:jc w:val="left"/>
              <w:rPr>
                <w:rFonts w:hint="eastAsia" w:ascii="宋体" w:hAnsi="宋体" w:eastAsia="宋体" w:cs="宋体"/>
                <w:color w:val="auto"/>
                <w:sz w:val="18"/>
                <w:szCs w:val="18"/>
                <w:vertAlign w:val="baseline"/>
                <w:lang w:val="en-US" w:eastAsia="zh-CN" w:bidi="ar-SA"/>
              </w:rPr>
            </w:pPr>
            <w:r>
              <w:rPr>
                <w:rFonts w:hint="eastAsia" w:hAnsi="宋体" w:cs="宋体"/>
                <w:color w:val="auto"/>
                <w:sz w:val="18"/>
                <w:szCs w:val="18"/>
                <w:vertAlign w:val="baseline"/>
                <w:lang w:val="en-US" w:eastAsia="zh-CN"/>
              </w:rPr>
              <w:t>0.2.1  企业被列入国家信用信息严重失信主体相关名录。</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A9D7">
            <w:pPr>
              <w:jc w:val="center"/>
              <w:rPr>
                <w:rFonts w:hint="eastAsia" w:ascii="宋体" w:hAnsi="宋体" w:eastAsia="宋体" w:cs="宋体"/>
                <w:b w:val="0"/>
                <w:bCs w:val="0"/>
                <w:i w:val="0"/>
                <w:iCs w:val="0"/>
                <w:color w:val="000000"/>
                <w:sz w:val="18"/>
                <w:szCs w:val="18"/>
                <w:u w:val="none"/>
              </w:rPr>
            </w:pPr>
          </w:p>
        </w:tc>
        <w:tc>
          <w:tcPr>
            <w:tcW w:w="1000" w:type="dxa"/>
            <w:vMerge w:val="continue"/>
            <w:tcBorders>
              <w:left w:val="single" w:color="000000" w:sz="4" w:space="0"/>
              <w:right w:val="single" w:color="000000" w:sz="4" w:space="0"/>
            </w:tcBorders>
            <w:shd w:val="clear" w:color="auto" w:fill="auto"/>
            <w:vAlign w:val="center"/>
          </w:tcPr>
          <w:p w14:paraId="648B8B39">
            <w:pPr>
              <w:jc w:val="center"/>
              <w:rPr>
                <w:rFonts w:hint="eastAsia" w:ascii="宋体" w:hAnsi="宋体" w:eastAsia="宋体" w:cs="宋体"/>
                <w:b w:val="0"/>
                <w:bCs w:val="0"/>
                <w:i w:val="0"/>
                <w:iCs w:val="0"/>
                <w:color w:val="000000"/>
                <w:sz w:val="18"/>
                <w:szCs w:val="18"/>
                <w:u w:val="none"/>
              </w:rPr>
            </w:pPr>
          </w:p>
        </w:tc>
      </w:tr>
      <w:tr w14:paraId="2C51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09" w:type="dxa"/>
            <w:vMerge w:val="continue"/>
            <w:tcBorders>
              <w:left w:val="single" w:color="000000" w:sz="4" w:space="0"/>
              <w:bottom w:val="single" w:color="000000" w:sz="4" w:space="0"/>
              <w:right w:val="single" w:color="000000" w:sz="4" w:space="0"/>
            </w:tcBorders>
            <w:shd w:val="clear" w:color="auto" w:fill="auto"/>
            <w:vAlign w:val="center"/>
          </w:tcPr>
          <w:p w14:paraId="4714E523">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p>
        </w:tc>
        <w:tc>
          <w:tcPr>
            <w:tcW w:w="1450" w:type="dxa"/>
            <w:vMerge w:val="continue"/>
            <w:tcBorders>
              <w:left w:val="single" w:color="000000" w:sz="4" w:space="0"/>
              <w:bottom w:val="single" w:color="000000" w:sz="4" w:space="0"/>
              <w:right w:val="single" w:color="000000" w:sz="4" w:space="0"/>
            </w:tcBorders>
            <w:shd w:val="clear" w:color="auto" w:fill="auto"/>
            <w:vAlign w:val="center"/>
          </w:tcPr>
          <w:p w14:paraId="7EC314FF">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9A06">
            <w:pPr>
              <w:pStyle w:val="56"/>
              <w:numPr>
                <w:ilvl w:val="0"/>
                <w:numId w:val="0"/>
              </w:numPr>
              <w:bidi w:val="0"/>
              <w:ind w:left="0" w:leftChars="0" w:firstLine="0" w:firstLineChars="0"/>
              <w:jc w:val="left"/>
              <w:rPr>
                <w:rFonts w:hint="eastAsia" w:ascii="宋体" w:hAnsi="宋体" w:eastAsia="宋体" w:cs="宋体"/>
                <w:color w:val="auto"/>
                <w:sz w:val="18"/>
                <w:szCs w:val="18"/>
                <w:vertAlign w:val="baseline"/>
                <w:lang w:val="en-US" w:eastAsia="zh-CN" w:bidi="ar-SA"/>
              </w:rPr>
            </w:pPr>
            <w:r>
              <w:rPr>
                <w:rFonts w:hint="eastAsia" w:hAnsi="宋体" w:cs="宋体"/>
                <w:color w:val="auto"/>
                <w:sz w:val="18"/>
                <w:szCs w:val="18"/>
                <w:vertAlign w:val="baseline"/>
                <w:lang w:val="en-US" w:eastAsia="zh-CN"/>
              </w:rPr>
              <w:t>0.2.2  近3年内，企业存在发生重大生产安全事故、产品质量事故，造成人民生命和财产重大损失的情况。</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1357">
            <w:pPr>
              <w:jc w:val="center"/>
              <w:rPr>
                <w:rFonts w:hint="eastAsia" w:ascii="宋体" w:hAnsi="宋体" w:eastAsia="宋体" w:cs="宋体"/>
                <w:b w:val="0"/>
                <w:bCs w:val="0"/>
                <w:i w:val="0"/>
                <w:iCs w:val="0"/>
                <w:color w:val="000000"/>
                <w:sz w:val="18"/>
                <w:szCs w:val="18"/>
                <w:u w:val="none"/>
              </w:rPr>
            </w:pPr>
          </w:p>
        </w:tc>
        <w:tc>
          <w:tcPr>
            <w:tcW w:w="1000" w:type="dxa"/>
            <w:vMerge w:val="continue"/>
            <w:tcBorders>
              <w:left w:val="single" w:color="000000" w:sz="4" w:space="0"/>
              <w:bottom w:val="single" w:color="000000" w:sz="4" w:space="0"/>
              <w:right w:val="single" w:color="000000" w:sz="4" w:space="0"/>
            </w:tcBorders>
            <w:shd w:val="clear" w:color="auto" w:fill="auto"/>
            <w:vAlign w:val="center"/>
          </w:tcPr>
          <w:p w14:paraId="3FF813D8">
            <w:pPr>
              <w:jc w:val="center"/>
              <w:rPr>
                <w:rFonts w:hint="eastAsia" w:ascii="宋体" w:hAnsi="宋体" w:eastAsia="宋体" w:cs="宋体"/>
                <w:b w:val="0"/>
                <w:bCs w:val="0"/>
                <w:i w:val="0"/>
                <w:iCs w:val="0"/>
                <w:color w:val="000000"/>
                <w:sz w:val="18"/>
                <w:szCs w:val="18"/>
                <w:u w:val="none"/>
              </w:rPr>
            </w:pPr>
          </w:p>
        </w:tc>
      </w:tr>
      <w:tr w14:paraId="48E10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533D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 组织管理</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1185">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w:t>
            </w:r>
            <w:r>
              <w:rPr>
                <w:rFonts w:hint="eastAsia" w:ascii="宋体" w:hAnsi="宋体" w:eastAsia="宋体" w:cs="宋体"/>
                <w:b w:val="0"/>
                <w:bCs w:val="0"/>
                <w:i w:val="0"/>
                <w:iCs w:val="0"/>
                <w:color w:val="000000"/>
                <w:kern w:val="0"/>
                <w:sz w:val="18"/>
                <w:szCs w:val="18"/>
                <w:u w:val="none"/>
                <w:lang w:val="en-US" w:eastAsia="zh-CN" w:bidi="ar"/>
              </w:rPr>
              <w:t>.1 管理体系建设</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11C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1.1.1 建立完善的企业管理体系，每获得一项管理体系认证证书，得 10分，最高不超过 30 分。（不包含加分项列出的管理体系认证证书）</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48B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质量管理体系、环境管理体系、职业健康安全管理体系、测量管理体系、能源管理体系、食品安全管理体系等认证证书。</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7F5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w:t>
            </w:r>
          </w:p>
        </w:tc>
      </w:tr>
      <w:tr w14:paraId="5392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B3D26">
            <w:pPr>
              <w:jc w:val="center"/>
              <w:rPr>
                <w:rFonts w:hint="eastAsia" w:ascii="宋体" w:hAnsi="宋体" w:eastAsia="宋体" w:cs="宋体"/>
                <w:b w:val="0"/>
                <w:bCs w:val="0"/>
                <w:i w:val="0"/>
                <w:iCs w:val="0"/>
                <w:color w:val="000000"/>
                <w:sz w:val="18"/>
                <w:szCs w:val="18"/>
                <w:u w:val="none"/>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815C2">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 领导作用</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BDA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 设置管理方针和管理目标，并对管理目标的完成情况进行统计和分析。</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AFE4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企业经营战略管理制度及执行落实情况。</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CD8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1A5EA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376A3">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19DD5">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12F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1.2.2 明确各部门和各岗位的职责和权限。</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BA4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重点部门岗位职责权限说明。</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40A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r>
      <w:tr w14:paraId="4C5AF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5831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 资源管理</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EBCB">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2.1 人力资源管理</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B20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2.1.1 建立人力资源管理程序，内容包括但不限于招聘、培训、任用、解聘等管理要求。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F87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人力资源管理程序文件。如质量管理体系程序文件中已包括则无需提供；如未包括则需提供，应包括但不限于人员招聘、培训、任用、解聘等过程的管理要求。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A56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71CF2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F912">
            <w:pPr>
              <w:jc w:val="center"/>
              <w:rPr>
                <w:rFonts w:hint="eastAsia" w:ascii="宋体" w:hAnsi="宋体" w:eastAsia="宋体" w:cs="宋体"/>
                <w:b w:val="0"/>
                <w:bCs w:val="0"/>
                <w:i w:val="0"/>
                <w:iCs w:val="0"/>
                <w:color w:val="000000"/>
                <w:sz w:val="18"/>
                <w:szCs w:val="18"/>
                <w:u w:val="none"/>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98E30">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2.2 设施、设备管理</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134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2.2.1 建立设施设备的管理程序，内容包括但不限于设施设备的配置、选型、验收、安装调试、保养、维修和报废等管理要求。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B7C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设施设备管理程序文件。如质量管理体系程序文件中已包括则无需提供；如未包括则需提供，内容包括但不限于设施设备的配置、选型、验收、安装调试、保养、维修和报废等管理要求。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F99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4074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36F7C">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B5A81">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228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2.2.</w:t>
            </w: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建立监视测量设备管理程序，内容包括但不限于监视测量设备的购置、选型、验收、校准、标识和报废等管理要求。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F7E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监视测量设备管理程序文件。如质量管理体系程序文件中已包括则无需提供；如未包括则需提供，以及监视测量设备的购置、选型、验收、校准、标识和报废等管理要求。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363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4AFF8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34BC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 xml:space="preserve"> </w:t>
            </w:r>
            <w:r>
              <w:rPr>
                <w:rFonts w:hint="eastAsia" w:ascii="宋体" w:hAnsi="宋体" w:eastAsia="宋体" w:cs="宋体"/>
                <w:b w:val="0"/>
                <w:bCs w:val="0"/>
                <w:i w:val="0"/>
                <w:iCs w:val="0"/>
                <w:color w:val="000000"/>
                <w:kern w:val="0"/>
                <w:sz w:val="18"/>
                <w:szCs w:val="18"/>
                <w:u w:val="none"/>
                <w:lang w:val="en-US" w:eastAsia="zh-CN" w:bidi="ar"/>
              </w:rPr>
              <w:t>过程管理</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90A65">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3.1 产品要求和顾客沟通</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9F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3.1.2 建立订单合同管理程序，内容包括但不限于订单合同的确定方式、评审和变更等管理要求。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2A8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订单合同管理程序文件。如质量管理体系程序文件中已包括则无需提供；如未包括则需提供，应包括但不限于订单合同的确定方式、评审和变更的管理要求。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F16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05F1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758C">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27183">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BB65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3.1.</w:t>
            </w: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建立客户满意调查程序，内容包括但不限于调查方式、频次、统计和分析方法以及结果处置程序。</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E0B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客户满意调查管理程序文件。如质量管理体系程序文件中已包括则无需提供；如未包括则需提供，应包括但不限于调查的方式、频次、统计和分析方法以及结果处置程序。</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32D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4DADC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277B0">
            <w:pPr>
              <w:jc w:val="center"/>
              <w:rPr>
                <w:rFonts w:hint="eastAsia" w:ascii="宋体" w:hAnsi="宋体" w:eastAsia="宋体" w:cs="宋体"/>
                <w:b w:val="0"/>
                <w:bCs w:val="0"/>
                <w:i w:val="0"/>
                <w:iCs w:val="0"/>
                <w:color w:val="000000"/>
                <w:sz w:val="18"/>
                <w:szCs w:val="18"/>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9E1F">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3.2 产品和工艺的设计与开发</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76A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3.2.1 建立产品开发或工艺设计程序，内容包括但不限于设计和开发的策划、输入、控制、输出及更改、样品管理等过程的要求。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6AF1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产品设计开发管理程序文件。如质量管理体系程序文件中已包括则无需提供；如未包括则需提供，应包括但不限于产品设计和开发的策划、输入、控制、输出及更改、开发样品管理等过程的要求。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E8C5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236FD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2061F">
            <w:pPr>
              <w:jc w:val="center"/>
              <w:rPr>
                <w:rFonts w:hint="eastAsia" w:ascii="宋体" w:hAnsi="宋体" w:eastAsia="宋体" w:cs="宋体"/>
                <w:b w:val="0"/>
                <w:bCs w:val="0"/>
                <w:i w:val="0"/>
                <w:iCs w:val="0"/>
                <w:color w:val="000000"/>
                <w:sz w:val="18"/>
                <w:szCs w:val="18"/>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CAD9">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3.3 采购管理</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ACC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3.3.1 建立供应商（含外包方）管理程序，内容包括但不限于：供应商的选择准则、初次评价和定期评价、初次供货和批量供货验收、不合格品处置等要求。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E96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供应商管理程序文件。如质量管理体系程序文件中已包括则无需提供；如未包括则需提供，应包括但不限于供应商选择的准则、供应商初次评价和定期要求、客户指定供应商的管理要求、外包方的管理要求、供应商产品和服务的初次供货验收方法、批量供货的验收及发生不合格品的处置要求等内容。</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C8B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35CE2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61393">
            <w:pPr>
              <w:jc w:val="center"/>
              <w:rPr>
                <w:rFonts w:hint="eastAsia" w:ascii="宋体" w:hAnsi="宋体" w:eastAsia="宋体" w:cs="宋体"/>
                <w:b w:val="0"/>
                <w:bCs w:val="0"/>
                <w:i w:val="0"/>
                <w:iCs w:val="0"/>
                <w:color w:val="000000"/>
                <w:sz w:val="18"/>
                <w:szCs w:val="18"/>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F93C6">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4</w:t>
            </w:r>
            <w:r>
              <w:rPr>
                <w:rFonts w:hint="eastAsia" w:ascii="宋体" w:hAnsi="宋体" w:eastAsia="宋体" w:cs="宋体"/>
                <w:b w:val="0"/>
                <w:bCs w:val="0"/>
                <w:i w:val="0"/>
                <w:iCs w:val="0"/>
                <w:color w:val="000000"/>
                <w:kern w:val="0"/>
                <w:sz w:val="18"/>
                <w:szCs w:val="18"/>
                <w:u w:val="none"/>
                <w:lang w:val="en-US" w:eastAsia="zh-CN" w:bidi="ar"/>
              </w:rPr>
              <w:t xml:space="preserve"> 仓储及物流管理</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DB8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4</w:t>
            </w:r>
            <w:r>
              <w:rPr>
                <w:rFonts w:hint="eastAsia" w:ascii="宋体" w:hAnsi="宋体" w:eastAsia="宋体" w:cs="宋体"/>
                <w:b w:val="0"/>
                <w:bCs w:val="0"/>
                <w:i w:val="0"/>
                <w:iCs w:val="0"/>
                <w:color w:val="000000"/>
                <w:kern w:val="0"/>
                <w:sz w:val="18"/>
                <w:szCs w:val="18"/>
                <w:u w:val="none"/>
                <w:lang w:val="en-US" w:eastAsia="zh-CN" w:bidi="ar"/>
              </w:rPr>
              <w:t>.1 建立仓库管理程序，内容包括但不限于：仓库的环境控制、出入库管理，以及仓存品的标识、防护和定期盘点等要求。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1697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仓库管理程序文件。如质量管理体系程序文件中已包括则无需提供；如未包括则需提供，应包括但不限于仓库的环境控制、出入库管理，以及仓存品的标识、防护和定期盘点等要求。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05D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2D47A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26FAF">
            <w:pPr>
              <w:jc w:val="center"/>
              <w:rPr>
                <w:rFonts w:hint="eastAsia" w:ascii="宋体" w:hAnsi="宋体" w:eastAsia="宋体" w:cs="宋体"/>
                <w:b w:val="0"/>
                <w:bCs w:val="0"/>
                <w:i w:val="0"/>
                <w:iCs w:val="0"/>
                <w:color w:val="000000"/>
                <w:sz w:val="18"/>
                <w:szCs w:val="18"/>
                <w:u w:val="none"/>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F4137">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5</w:t>
            </w:r>
            <w:r>
              <w:rPr>
                <w:rFonts w:hint="eastAsia" w:ascii="宋体" w:hAnsi="宋体" w:eastAsia="宋体" w:cs="宋体"/>
                <w:b w:val="0"/>
                <w:bCs w:val="0"/>
                <w:i w:val="0"/>
                <w:iCs w:val="0"/>
                <w:color w:val="000000"/>
                <w:kern w:val="0"/>
                <w:sz w:val="18"/>
                <w:szCs w:val="18"/>
                <w:u w:val="none"/>
                <w:lang w:val="en-US" w:eastAsia="zh-CN" w:bidi="ar"/>
              </w:rPr>
              <w:t xml:space="preserve"> 产品质量控制</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1C7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5</w:t>
            </w:r>
            <w:r>
              <w:rPr>
                <w:rFonts w:hint="eastAsia" w:ascii="宋体" w:hAnsi="宋体" w:eastAsia="宋体" w:cs="宋体"/>
                <w:b w:val="0"/>
                <w:bCs w:val="0"/>
                <w:i w:val="0"/>
                <w:iCs w:val="0"/>
                <w:color w:val="000000"/>
                <w:kern w:val="0"/>
                <w:sz w:val="18"/>
                <w:szCs w:val="18"/>
                <w:u w:val="none"/>
                <w:lang w:val="en-US" w:eastAsia="zh-CN" w:bidi="ar"/>
              </w:rPr>
              <w:t>.1 建立产品质量控制管理程序，内容包括但不限于：原材料、半成品、成品的检验标准、检验流程、抽样准则和检验记录等要求。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C1E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品质量控制管理程序文件。如质量管理体系程序文件中已包括则无需提供；如未包括则需提供，应包括但不限于原材料、半成品、成品等各阶段的检测或验收的标准、流程和方法，抽样准则、授权人批准、检验记录等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45B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76343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77F57">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D804F">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8F2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r>
              <w:rPr>
                <w:rFonts w:hint="eastAsia" w:ascii="宋体" w:hAnsi="宋体" w:cs="宋体"/>
                <w:b w:val="0"/>
                <w:bCs w:val="0"/>
                <w:i w:val="0"/>
                <w:iCs w:val="0"/>
                <w:color w:val="000000"/>
                <w:kern w:val="0"/>
                <w:sz w:val="18"/>
                <w:szCs w:val="18"/>
                <w:u w:val="none"/>
                <w:lang w:val="en-US" w:eastAsia="zh-CN" w:bidi="ar"/>
              </w:rPr>
              <w:t>5</w:t>
            </w:r>
            <w:r>
              <w:rPr>
                <w:rFonts w:hint="eastAsia" w:ascii="宋体" w:hAnsi="宋体" w:eastAsia="宋体" w:cs="宋体"/>
                <w:b w:val="0"/>
                <w:bCs w:val="0"/>
                <w:i w:val="0"/>
                <w:iCs w:val="0"/>
                <w:color w:val="000000"/>
                <w:kern w:val="0"/>
                <w:sz w:val="18"/>
                <w:szCs w:val="18"/>
                <w:u w:val="none"/>
                <w:lang w:val="en-US" w:eastAsia="zh-CN" w:bidi="ar"/>
              </w:rPr>
              <w:t>.</w:t>
            </w: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建立不合格品控制程序，内容包括但不限于：不合格品的判定权限、标识、处置记录等要求。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9A5D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不合格品处置管理程序文件。如质量管理体系程序文件中已包括则无需提供；如未包括则需提供，应包括但不限于不合格品的判定权限、标识、处置记录等要求。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2C3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4A09D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D637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 产品责任及消费者权益保障</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31DF0">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w:t>
            </w:r>
            <w:r>
              <w:rPr>
                <w:rFonts w:hint="eastAsia" w:ascii="宋体" w:hAnsi="宋体" w:cs="宋体"/>
                <w:b w:val="0"/>
                <w:bCs w:val="0"/>
                <w:i w:val="0"/>
                <w:iCs w:val="0"/>
                <w:color w:val="000000"/>
                <w:kern w:val="0"/>
                <w:sz w:val="18"/>
                <w:szCs w:val="18"/>
                <w:u w:val="none"/>
                <w:lang w:val="en-US" w:eastAsia="zh-CN" w:bidi="ar"/>
              </w:rPr>
              <w:t>1</w:t>
            </w:r>
            <w:r>
              <w:rPr>
                <w:rFonts w:hint="eastAsia" w:ascii="宋体" w:hAnsi="宋体" w:eastAsia="宋体" w:cs="宋体"/>
                <w:b w:val="0"/>
                <w:bCs w:val="0"/>
                <w:i w:val="0"/>
                <w:iCs w:val="0"/>
                <w:color w:val="000000"/>
                <w:kern w:val="0"/>
                <w:sz w:val="18"/>
                <w:szCs w:val="18"/>
                <w:u w:val="none"/>
                <w:lang w:val="en-US" w:eastAsia="zh-CN" w:bidi="ar"/>
              </w:rPr>
              <w:t xml:space="preserve"> 消费者权益保障</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157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w:t>
            </w:r>
            <w:r>
              <w:rPr>
                <w:rFonts w:hint="eastAsia" w:ascii="宋体" w:hAnsi="宋体" w:cs="宋体"/>
                <w:b w:val="0"/>
                <w:bCs w:val="0"/>
                <w:i w:val="0"/>
                <w:iCs w:val="0"/>
                <w:color w:val="000000"/>
                <w:kern w:val="0"/>
                <w:sz w:val="18"/>
                <w:szCs w:val="18"/>
                <w:u w:val="none"/>
                <w:lang w:val="en-US" w:eastAsia="zh-CN" w:bidi="ar"/>
              </w:rPr>
              <w:t>1</w:t>
            </w:r>
            <w:r>
              <w:rPr>
                <w:rFonts w:hint="eastAsia" w:ascii="宋体" w:hAnsi="宋体" w:eastAsia="宋体" w:cs="宋体"/>
                <w:b w:val="0"/>
                <w:bCs w:val="0"/>
                <w:i w:val="0"/>
                <w:iCs w:val="0"/>
                <w:color w:val="000000"/>
                <w:kern w:val="0"/>
                <w:sz w:val="18"/>
                <w:szCs w:val="18"/>
                <w:u w:val="none"/>
                <w:lang w:val="en-US" w:eastAsia="zh-CN" w:bidi="ar"/>
              </w:rPr>
              <w:t>.1 建立并实施营销和广告的审查和管理制度，有审查记录。</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F94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营销和广告的审查和管理制度文件，以及部分审查记录。</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AD6F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14D75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EC03F">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6288A">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1A1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w:t>
            </w:r>
            <w:r>
              <w:rPr>
                <w:rFonts w:hint="eastAsia" w:ascii="宋体" w:hAnsi="宋体" w:cs="宋体"/>
                <w:b w:val="0"/>
                <w:bCs w:val="0"/>
                <w:i w:val="0"/>
                <w:iCs w:val="0"/>
                <w:color w:val="000000"/>
                <w:kern w:val="0"/>
                <w:sz w:val="18"/>
                <w:szCs w:val="18"/>
                <w:u w:val="none"/>
                <w:lang w:val="en-US" w:eastAsia="zh-CN" w:bidi="ar"/>
              </w:rPr>
              <w:t>1</w:t>
            </w:r>
            <w:r>
              <w:rPr>
                <w:rFonts w:hint="eastAsia" w:ascii="宋体" w:hAnsi="宋体" w:eastAsia="宋体" w:cs="宋体"/>
                <w:b w:val="0"/>
                <w:bCs w:val="0"/>
                <w:i w:val="0"/>
                <w:iCs w:val="0"/>
                <w:color w:val="000000"/>
                <w:kern w:val="0"/>
                <w:sz w:val="18"/>
                <w:szCs w:val="18"/>
                <w:u w:val="none"/>
                <w:lang w:val="en-US" w:eastAsia="zh-CN" w:bidi="ar"/>
              </w:rPr>
              <w:t>.</w:t>
            </w: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建立并实施产品召回程序，内容包括但不限于召回流程控制和定期演练要求。</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061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缺陷产品召回程序文件，内容应包括但不限于召回流程控制和定期演练要求。</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8AF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59903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D1A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 创新能力</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980ED">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 创新能力</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2F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w:t>
            </w:r>
            <w:r>
              <w:rPr>
                <w:rFonts w:hint="eastAsia" w:ascii="宋体" w:hAnsi="宋体" w:cs="宋体"/>
                <w:b w:val="0"/>
                <w:bCs w:val="0"/>
                <w:i w:val="0"/>
                <w:iCs w:val="0"/>
                <w:color w:val="000000"/>
                <w:kern w:val="0"/>
                <w:sz w:val="18"/>
                <w:szCs w:val="18"/>
                <w:u w:val="none"/>
                <w:lang w:val="en-US" w:eastAsia="zh-CN" w:bidi="ar"/>
              </w:rPr>
              <w:t>1</w:t>
            </w:r>
            <w:r>
              <w:rPr>
                <w:rFonts w:hint="eastAsia" w:ascii="宋体" w:hAnsi="宋体" w:eastAsia="宋体" w:cs="宋体"/>
                <w:b w:val="0"/>
                <w:bCs w:val="0"/>
                <w:i w:val="0"/>
                <w:iCs w:val="0"/>
                <w:color w:val="000000"/>
                <w:kern w:val="0"/>
                <w:sz w:val="18"/>
                <w:szCs w:val="18"/>
                <w:u w:val="none"/>
                <w:lang w:val="en-US" w:eastAsia="zh-CN" w:bidi="ar"/>
              </w:rPr>
              <w:t xml:space="preserve"> 获得发明专利，获得 1 项以上发明专利的得 5 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D4D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提供其中1份即可。</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29A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r>
      <w:tr w14:paraId="6CAD7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3A129">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5BAB5">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2A5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w:t>
            </w: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获得各级工程中心、创新中心、技术中心、新型研发机构、高新科技企业、专精特新等称号其中一项的（本条不适用食品行业）。</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0F15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提供其中1份即可。</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FC1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r>
      <w:tr w14:paraId="795C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32B9">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99902">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FE0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w:t>
            </w:r>
            <w:r>
              <w:rPr>
                <w:rFonts w:hint="eastAsia" w:ascii="宋体" w:hAnsi="宋体" w:cs="宋体"/>
                <w:b w:val="0"/>
                <w:bCs w:val="0"/>
                <w:i w:val="0"/>
                <w:iCs w:val="0"/>
                <w:color w:val="000000"/>
                <w:kern w:val="0"/>
                <w:sz w:val="18"/>
                <w:szCs w:val="18"/>
                <w:u w:val="none"/>
                <w:lang w:val="en-US" w:eastAsia="zh-CN" w:bidi="ar"/>
              </w:rPr>
              <w:t>3</w:t>
            </w:r>
            <w:r>
              <w:rPr>
                <w:rFonts w:hint="eastAsia" w:ascii="宋体" w:hAnsi="宋体" w:eastAsia="宋体" w:cs="宋体"/>
                <w:b w:val="0"/>
                <w:bCs w:val="0"/>
                <w:i w:val="0"/>
                <w:iCs w:val="0"/>
                <w:color w:val="000000"/>
                <w:kern w:val="0"/>
                <w:sz w:val="18"/>
                <w:szCs w:val="18"/>
                <w:u w:val="none"/>
                <w:lang w:val="en-US" w:eastAsia="zh-CN" w:bidi="ar"/>
              </w:rPr>
              <w:t xml:space="preserve"> 通过各类自愿性产品认证（如标准领跑者等），每项得 5 分，总分不超过 10 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9C0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提供其中2份即可。</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697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r>
      <w:tr w14:paraId="70E7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1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C0D3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 品牌管理</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80F9">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6.1 品牌管理</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A59D">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6.1.1 推动品牌与传统文化、品牌与企业文化融合发展，有企业专属品牌与文化 IP等方面的证明材料（如非物质文化遗产、地理标志、质量奖、驰名商标、老字号、卓越绩效管理优秀单位等资质荣誉证书），每项得5分，总分不超过10分。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95AB">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企业获得的非物质文化遗产、地理标志、质量奖、驰名商标、老字号、卓越绩效管理优秀单位等反映品牌建设成效的资质荣誉证书，提供其中2份即可。</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F32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r>
      <w:tr w14:paraId="0808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1305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7</w:t>
            </w:r>
            <w:r>
              <w:rPr>
                <w:rFonts w:hint="eastAsia" w:ascii="宋体" w:hAnsi="宋体" w:eastAsia="宋体" w:cs="宋体"/>
                <w:b w:val="0"/>
                <w:bCs w:val="0"/>
                <w:i w:val="0"/>
                <w:iCs w:val="0"/>
                <w:color w:val="000000"/>
                <w:kern w:val="0"/>
                <w:sz w:val="18"/>
                <w:szCs w:val="18"/>
                <w:u w:val="none"/>
                <w:lang w:val="en-US" w:eastAsia="zh-CN" w:bidi="ar"/>
              </w:rPr>
              <w:t xml:space="preserve"> 绿色发展</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96987">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7</w:t>
            </w:r>
            <w:r>
              <w:rPr>
                <w:rFonts w:hint="eastAsia" w:ascii="宋体" w:hAnsi="宋体" w:eastAsia="宋体" w:cs="宋体"/>
                <w:b w:val="0"/>
                <w:bCs w:val="0"/>
                <w:i w:val="0"/>
                <w:iCs w:val="0"/>
                <w:color w:val="000000"/>
                <w:kern w:val="0"/>
                <w:sz w:val="18"/>
                <w:szCs w:val="18"/>
                <w:u w:val="none"/>
                <w:lang w:val="en-US" w:eastAsia="zh-CN" w:bidi="ar"/>
              </w:rPr>
              <w:t>.1 绿色发展</w:t>
            </w:r>
          </w:p>
        </w:tc>
        <w:tc>
          <w:tcPr>
            <w:tcW w:w="6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0EC57">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7</w:t>
            </w:r>
            <w:r>
              <w:rPr>
                <w:rFonts w:hint="eastAsia" w:ascii="宋体" w:hAnsi="宋体" w:eastAsia="宋体" w:cs="宋体"/>
                <w:b w:val="0"/>
                <w:bCs w:val="0"/>
                <w:i w:val="0"/>
                <w:iCs w:val="0"/>
                <w:color w:val="000000"/>
                <w:kern w:val="0"/>
                <w:sz w:val="18"/>
                <w:szCs w:val="18"/>
                <w:u w:val="none"/>
                <w:lang w:val="en-US" w:eastAsia="zh-CN" w:bidi="ar"/>
              </w:rPr>
              <w:t>.1.1 通过强制性或者自愿性清洁生产评价的得5分，未通过不得分。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B379A">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清洁生产评价证书。</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C55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r>
      <w:tr w14:paraId="670E3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9913">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 xml:space="preserve"> 社会责任</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71AD">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.1 社会责任</w:t>
            </w: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26E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.1.1 通过企业诚信管理体系认证并获得证书的得5分，未通过不得分。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2FC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企业诚信管理体系认证证书。</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D29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r>
      <w:tr w14:paraId="0A10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BBF91">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02259">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C76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.1.2 通过企业社会责任管理体系评价并获得评价证书或报告的得5分，未通过不得分。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058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企业社会责任认证证书或报告。</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8D21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r>
      <w:tr w14:paraId="0FF93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07CD">
            <w:pPr>
              <w:jc w:val="center"/>
              <w:rPr>
                <w:rFonts w:hint="eastAsia" w:ascii="宋体" w:hAnsi="宋体" w:eastAsia="宋体" w:cs="宋体"/>
                <w:b w:val="0"/>
                <w:bCs w:val="0"/>
                <w:i w:val="0"/>
                <w:iCs w:val="0"/>
                <w:color w:val="000000"/>
                <w:sz w:val="18"/>
                <w:szCs w:val="18"/>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8FFD">
            <w:pPr>
              <w:jc w:val="center"/>
              <w:rPr>
                <w:rFonts w:hint="eastAsia" w:ascii="宋体" w:hAnsi="宋体" w:eastAsia="宋体" w:cs="宋体"/>
                <w:b w:val="0"/>
                <w:bCs w:val="0"/>
                <w:i w:val="0"/>
                <w:iCs w:val="0"/>
                <w:color w:val="000000"/>
                <w:sz w:val="18"/>
                <w:szCs w:val="18"/>
                <w:u w:val="none"/>
              </w:rPr>
            </w:pPr>
          </w:p>
        </w:tc>
        <w:tc>
          <w:tcPr>
            <w:tcW w:w="6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54B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.1.3 发布社会责任报告或 ESG 报告的得5分，未发布不得分。</w:t>
            </w:r>
          </w:p>
        </w:tc>
        <w:tc>
          <w:tcPr>
            <w:tcW w:w="4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D0E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企业ESG报告。</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249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r>
      <w:tr w14:paraId="74708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36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4F89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总分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BD2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295</w:t>
            </w:r>
          </w:p>
        </w:tc>
      </w:tr>
    </w:tbl>
    <w:p w14:paraId="015C66DB"/>
    <w:p w14:paraId="5C1A125C"/>
    <w:p w14:paraId="31E3D0F7"/>
    <w:p w14:paraId="508C17FE"/>
    <w:p w14:paraId="7D5720AE"/>
    <w:p w14:paraId="7C491EBD">
      <w:pPr>
        <w:pStyle w:val="60"/>
        <w:numPr>
          <w:ilvl w:val="2"/>
          <w:numId w:val="0"/>
        </w:numPr>
        <w:bidi w:val="0"/>
        <w:ind w:leftChars="0"/>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附 录 B</w:t>
      </w:r>
    </w:p>
    <w:p w14:paraId="4AF52859">
      <w:pPr>
        <w:pStyle w:val="60"/>
        <w:numPr>
          <w:ilvl w:val="2"/>
          <w:numId w:val="0"/>
        </w:numPr>
        <w:bidi w:val="0"/>
        <w:ind w:leftChars="0"/>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(规范性附录)</w:t>
      </w:r>
    </w:p>
    <w:p w14:paraId="37E3C191">
      <w:pPr>
        <w:pStyle w:val="60"/>
        <w:numPr>
          <w:ilvl w:val="2"/>
          <w:numId w:val="0"/>
        </w:numPr>
        <w:bidi w:val="0"/>
        <w:ind w:firstLine="420" w:firstLineChars="200"/>
        <w:jc w:val="both"/>
        <w:rPr>
          <w:rFonts w:hint="eastAsia"/>
          <w:color w:val="auto"/>
          <w:lang w:val="en-US" w:eastAsia="zh-CN"/>
        </w:rPr>
      </w:pPr>
      <w:r>
        <w:rPr>
          <w:rFonts w:hint="eastAsia"/>
          <w:color w:val="auto"/>
          <w:lang w:val="en-US" w:eastAsia="zh-CN"/>
        </w:rPr>
        <w:t>现场评价指标、评价要求及分值见表B.1。</w:t>
      </w:r>
    </w:p>
    <w:p w14:paraId="64E0A51D">
      <w:pPr>
        <w:pStyle w:val="60"/>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firstLine="0"/>
        <w:jc w:val="center"/>
        <w:textAlignment w:val="auto"/>
        <w:rPr>
          <w:rFonts w:hint="eastAsia" w:ascii="黑体" w:hAnsi="黑体" w:eastAsia="黑体" w:cs="黑体"/>
          <w:color w:val="auto"/>
          <w:lang w:val="en-US" w:eastAsia="zh-CN"/>
        </w:rPr>
      </w:pPr>
      <w:r>
        <w:rPr>
          <w:rFonts w:hint="eastAsia" w:ascii="黑体" w:hAnsi="黑体" w:eastAsia="黑体" w:cs="黑体"/>
          <w:color w:val="auto"/>
          <w:sz w:val="21"/>
          <w:szCs w:val="21"/>
          <w:lang w:val="en-US" w:eastAsia="zh-CN"/>
        </w:rPr>
        <w:t>表 B.1 资料</w:t>
      </w:r>
      <w:r>
        <w:rPr>
          <w:rFonts w:hint="eastAsia" w:ascii="黑体" w:hAnsi="黑体" w:eastAsia="黑体" w:cs="黑体"/>
          <w:color w:val="auto"/>
          <w:lang w:val="en-US" w:eastAsia="zh-CN"/>
        </w:rPr>
        <w:t>评价指标及评价要求</w:t>
      </w:r>
    </w:p>
    <w:tbl>
      <w:tblPr>
        <w:tblStyle w:val="30"/>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728"/>
        <w:gridCol w:w="977"/>
        <w:gridCol w:w="3601"/>
        <w:gridCol w:w="2769"/>
        <w:gridCol w:w="3574"/>
        <w:gridCol w:w="1009"/>
      </w:tblGrid>
      <w:tr w14:paraId="42EA60DD">
        <w:tblPrEx>
          <w:tblCellMar>
            <w:top w:w="0" w:type="dxa"/>
            <w:left w:w="108" w:type="dxa"/>
            <w:bottom w:w="0" w:type="dxa"/>
            <w:right w:w="108" w:type="dxa"/>
          </w:tblCellMar>
        </w:tblPrEx>
        <w:trPr>
          <w:trHeight w:val="270" w:hRule="atLeast"/>
        </w:trPr>
        <w:tc>
          <w:tcPr>
            <w:tcW w:w="2728" w:type="dxa"/>
            <w:vMerge w:val="restart"/>
            <w:shd w:val="clear" w:color="auto" w:fill="auto"/>
            <w:vAlign w:val="center"/>
          </w:tcPr>
          <w:p w14:paraId="624CCD1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评价要求</w:t>
            </w:r>
          </w:p>
        </w:tc>
        <w:tc>
          <w:tcPr>
            <w:tcW w:w="977" w:type="dxa"/>
            <w:vMerge w:val="restart"/>
            <w:shd w:val="clear" w:color="auto" w:fill="auto"/>
            <w:vAlign w:val="center"/>
          </w:tcPr>
          <w:p w14:paraId="576A772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单项分值</w:t>
            </w:r>
          </w:p>
        </w:tc>
        <w:tc>
          <w:tcPr>
            <w:tcW w:w="3601" w:type="dxa"/>
            <w:vMerge w:val="restart"/>
            <w:shd w:val="clear" w:color="auto" w:fill="auto"/>
            <w:vAlign w:val="center"/>
          </w:tcPr>
          <w:p w14:paraId="2B5E67F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主要证据</w:t>
            </w:r>
          </w:p>
        </w:tc>
        <w:tc>
          <w:tcPr>
            <w:tcW w:w="2769" w:type="dxa"/>
            <w:vMerge w:val="restart"/>
            <w:shd w:val="clear" w:color="auto" w:fill="auto"/>
            <w:vAlign w:val="center"/>
          </w:tcPr>
          <w:p w14:paraId="24B3EBC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确认方式</w:t>
            </w:r>
          </w:p>
        </w:tc>
        <w:tc>
          <w:tcPr>
            <w:tcW w:w="3574" w:type="dxa"/>
            <w:vMerge w:val="restart"/>
            <w:shd w:val="clear" w:color="auto" w:fill="auto"/>
            <w:vAlign w:val="center"/>
          </w:tcPr>
          <w:p w14:paraId="1B6AC3A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评分指南</w:t>
            </w:r>
          </w:p>
        </w:tc>
        <w:tc>
          <w:tcPr>
            <w:tcW w:w="1009" w:type="dxa"/>
            <w:vMerge w:val="restart"/>
            <w:shd w:val="clear" w:color="auto" w:fill="auto"/>
            <w:vAlign w:val="center"/>
          </w:tcPr>
          <w:p w14:paraId="4558D60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分值</w:t>
            </w:r>
          </w:p>
        </w:tc>
      </w:tr>
      <w:tr w14:paraId="0FD5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728" w:type="dxa"/>
            <w:vMerge w:val="continue"/>
            <w:shd w:val="clear" w:color="auto" w:fill="auto"/>
            <w:vAlign w:val="center"/>
          </w:tcPr>
          <w:p w14:paraId="5D50B3A2">
            <w:pPr>
              <w:jc w:val="center"/>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EEA6FC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A4E8D5E">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1E60383">
            <w:pPr>
              <w:rPr>
                <w:rFonts w:hint="eastAsia" w:ascii="宋体" w:hAnsi="宋体" w:eastAsia="宋体" w:cs="宋体"/>
                <w:b w:val="0"/>
                <w:bCs w:val="0"/>
                <w:i w:val="0"/>
                <w:iCs w:val="0"/>
                <w:color w:val="000000"/>
                <w:sz w:val="18"/>
                <w:szCs w:val="18"/>
                <w:u w:val="none"/>
              </w:rPr>
            </w:pPr>
          </w:p>
        </w:tc>
        <w:tc>
          <w:tcPr>
            <w:tcW w:w="3574" w:type="dxa"/>
            <w:vMerge w:val="continue"/>
            <w:shd w:val="clear" w:color="auto" w:fill="auto"/>
            <w:vAlign w:val="center"/>
          </w:tcPr>
          <w:p w14:paraId="6EE116D2">
            <w:pPr>
              <w:rPr>
                <w:rFonts w:hint="eastAsia" w:ascii="宋体" w:hAnsi="宋体" w:eastAsia="宋体" w:cs="宋体"/>
                <w:b w:val="0"/>
                <w:bCs w:val="0"/>
                <w:i w:val="0"/>
                <w:iCs w:val="0"/>
                <w:color w:val="000000"/>
                <w:sz w:val="18"/>
                <w:szCs w:val="18"/>
                <w:u w:val="none"/>
              </w:rPr>
            </w:pPr>
          </w:p>
        </w:tc>
        <w:tc>
          <w:tcPr>
            <w:tcW w:w="1009" w:type="dxa"/>
            <w:vMerge w:val="continue"/>
            <w:shd w:val="clear" w:color="auto" w:fill="auto"/>
            <w:vAlign w:val="center"/>
          </w:tcPr>
          <w:p w14:paraId="720C937D">
            <w:pPr>
              <w:rPr>
                <w:rFonts w:hint="eastAsia" w:ascii="宋体" w:hAnsi="宋体" w:eastAsia="宋体" w:cs="宋体"/>
                <w:b w:val="0"/>
                <w:bCs w:val="0"/>
                <w:i w:val="0"/>
                <w:iCs w:val="0"/>
                <w:color w:val="000000"/>
                <w:sz w:val="18"/>
                <w:szCs w:val="18"/>
                <w:u w:val="none"/>
              </w:rPr>
            </w:pPr>
          </w:p>
        </w:tc>
      </w:tr>
      <w:tr w14:paraId="2FF4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602BA74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 xml:space="preserve">1 </w:t>
            </w:r>
            <w:r>
              <w:rPr>
                <w:rFonts w:hint="eastAsia" w:ascii="宋体" w:hAnsi="宋体" w:eastAsia="宋体" w:cs="宋体"/>
                <w:b w:val="0"/>
                <w:bCs w:val="0"/>
                <w:i w:val="0"/>
                <w:iCs w:val="0"/>
                <w:color w:val="000000"/>
                <w:kern w:val="0"/>
                <w:sz w:val="18"/>
                <w:szCs w:val="18"/>
                <w:u w:val="none"/>
                <w:lang w:val="en-US" w:eastAsia="zh-CN" w:bidi="ar"/>
              </w:rPr>
              <w:t xml:space="preserve"> 特种作业人员（如叉车、电工、电焊工等）和有健康证明要求的工作岗位人员，按照国家法律法规要求持证上岗。</w:t>
            </w:r>
          </w:p>
        </w:tc>
        <w:tc>
          <w:tcPr>
            <w:tcW w:w="977" w:type="dxa"/>
            <w:vMerge w:val="restart"/>
            <w:shd w:val="clear" w:color="auto" w:fill="auto"/>
            <w:vAlign w:val="center"/>
          </w:tcPr>
          <w:p w14:paraId="6AB6E13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197A64A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1、特种设备人员名单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2、健康证人员名单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3、抽查5人左右，查看证照是否在有效期内</w:t>
            </w:r>
          </w:p>
        </w:tc>
        <w:tc>
          <w:tcPr>
            <w:tcW w:w="2769" w:type="dxa"/>
            <w:vMerge w:val="restart"/>
            <w:shd w:val="clear" w:color="auto" w:fill="auto"/>
            <w:vAlign w:val="center"/>
          </w:tcPr>
          <w:p w14:paraId="7045F14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01FE376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1、能提供名单，有效证照率100%，过期证照算无效证照</w:t>
            </w:r>
          </w:p>
        </w:tc>
        <w:tc>
          <w:tcPr>
            <w:tcW w:w="1009" w:type="dxa"/>
            <w:shd w:val="clear" w:color="auto" w:fill="auto"/>
            <w:vAlign w:val="center"/>
          </w:tcPr>
          <w:p w14:paraId="5993905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6BF6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7CD097D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E898B89">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931C55F">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585E736">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36EB57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2、能提供名单，有效证照率80%以上</w:t>
            </w:r>
          </w:p>
        </w:tc>
        <w:tc>
          <w:tcPr>
            <w:tcW w:w="1009" w:type="dxa"/>
            <w:shd w:val="clear" w:color="auto" w:fill="auto"/>
            <w:vAlign w:val="center"/>
          </w:tcPr>
          <w:p w14:paraId="26234C5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7B08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44C7BE5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3404E7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F2A963C">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0F04A11">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4B06E5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3、不能提供名单，有效证照率小于80%</w:t>
            </w:r>
          </w:p>
        </w:tc>
        <w:tc>
          <w:tcPr>
            <w:tcW w:w="1009" w:type="dxa"/>
            <w:shd w:val="clear" w:color="auto" w:fill="auto"/>
            <w:vAlign w:val="center"/>
          </w:tcPr>
          <w:p w14:paraId="2A1DB8D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2B9B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06E07B5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w:t>
            </w:r>
            <w:r>
              <w:rPr>
                <w:rFonts w:hint="eastAsia" w:ascii="宋体" w:hAnsi="宋体" w:eastAsia="宋体" w:cs="宋体"/>
                <w:b w:val="0"/>
                <w:bCs w:val="0"/>
                <w:i w:val="0"/>
                <w:iCs w:val="0"/>
                <w:color w:val="000000"/>
                <w:kern w:val="0"/>
                <w:sz w:val="18"/>
                <w:szCs w:val="18"/>
                <w:u w:val="none"/>
                <w:lang w:val="en-US" w:eastAsia="zh-CN" w:bidi="ar"/>
              </w:rPr>
              <w:t xml:space="preserve"> 制定和实施满足岗位要求能力培训计划，并保持培训记录。</w:t>
            </w:r>
          </w:p>
        </w:tc>
        <w:tc>
          <w:tcPr>
            <w:tcW w:w="977" w:type="dxa"/>
            <w:vMerge w:val="restart"/>
            <w:shd w:val="clear" w:color="auto" w:fill="auto"/>
            <w:vAlign w:val="center"/>
          </w:tcPr>
          <w:p w14:paraId="62A6F6C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0CDFA3C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1、企业年度培训记录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2、在培训计划中抽取1-2份，查看培训记录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3、培训记录应有信息，培训内容、培训课程、时长、签到表、培训评价</w:t>
            </w:r>
          </w:p>
        </w:tc>
        <w:tc>
          <w:tcPr>
            <w:tcW w:w="2769" w:type="dxa"/>
            <w:vMerge w:val="restart"/>
            <w:shd w:val="clear" w:color="auto" w:fill="auto"/>
            <w:vAlign w:val="center"/>
          </w:tcPr>
          <w:p w14:paraId="3C85D4C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3D27448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1、有年度培训计划，培训记录和培训计划能完全对应，且有培训效果评价</w:t>
            </w:r>
          </w:p>
        </w:tc>
        <w:tc>
          <w:tcPr>
            <w:tcW w:w="1009" w:type="dxa"/>
            <w:shd w:val="clear" w:color="auto" w:fill="auto"/>
            <w:vAlign w:val="center"/>
          </w:tcPr>
          <w:p w14:paraId="528239A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4039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18D03DB7">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3C7BD0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CF40AB8">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CC95294">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652B8F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2、有年度培训计划，培训记录和培训计划基本能对应，但培训没有效果评价</w:t>
            </w:r>
          </w:p>
        </w:tc>
        <w:tc>
          <w:tcPr>
            <w:tcW w:w="1009" w:type="dxa"/>
            <w:shd w:val="clear" w:color="auto" w:fill="auto"/>
            <w:vAlign w:val="center"/>
          </w:tcPr>
          <w:p w14:paraId="068FC0D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64F3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6F4F9C6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680DAC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3B23D7B">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E490297">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614D33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3、无年度培训计划，培训记录不完整</w:t>
            </w:r>
          </w:p>
        </w:tc>
        <w:tc>
          <w:tcPr>
            <w:tcW w:w="1009" w:type="dxa"/>
            <w:shd w:val="clear" w:color="auto" w:fill="auto"/>
            <w:vAlign w:val="center"/>
          </w:tcPr>
          <w:p w14:paraId="2DF09CB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3C1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728" w:type="dxa"/>
            <w:vMerge w:val="restart"/>
            <w:shd w:val="clear" w:color="auto" w:fill="auto"/>
            <w:vAlign w:val="center"/>
          </w:tcPr>
          <w:p w14:paraId="4ABD55D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w:t>
            </w:r>
            <w:r>
              <w:rPr>
                <w:rFonts w:hint="eastAsia" w:ascii="宋体" w:hAnsi="宋体" w:eastAsia="宋体" w:cs="宋体"/>
                <w:b w:val="0"/>
                <w:bCs w:val="0"/>
                <w:i w:val="0"/>
                <w:iCs w:val="0"/>
                <w:color w:val="000000"/>
                <w:kern w:val="0"/>
                <w:sz w:val="18"/>
                <w:szCs w:val="18"/>
                <w:u w:val="none"/>
                <w:lang w:val="en-US" w:eastAsia="zh-CN" w:bidi="ar"/>
              </w:rPr>
              <w:t xml:space="preserve"> 实施职业健康和安全相关方面的培训，并保持培训记录。</w:t>
            </w:r>
          </w:p>
        </w:tc>
        <w:tc>
          <w:tcPr>
            <w:tcW w:w="977" w:type="dxa"/>
            <w:vMerge w:val="restart"/>
            <w:shd w:val="clear" w:color="auto" w:fill="auto"/>
            <w:vAlign w:val="center"/>
          </w:tcPr>
          <w:p w14:paraId="2D9300B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4F635D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1、企业年度培训记录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2、在培训计划中抽取1-2份，查看培训记录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3、培训记录应有信息，培训内容、培训课程、时长、签到表、培训评价</w:t>
            </w:r>
          </w:p>
        </w:tc>
        <w:tc>
          <w:tcPr>
            <w:tcW w:w="2769" w:type="dxa"/>
            <w:vMerge w:val="restart"/>
            <w:shd w:val="clear" w:color="auto" w:fill="auto"/>
            <w:vAlign w:val="center"/>
          </w:tcPr>
          <w:p w14:paraId="2DDBAF0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1C1F130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1、有年度培训计划，培训记录和培训计划能完全对应，且有培训效果评价</w:t>
            </w:r>
          </w:p>
        </w:tc>
        <w:tc>
          <w:tcPr>
            <w:tcW w:w="1009" w:type="dxa"/>
            <w:shd w:val="clear" w:color="auto" w:fill="auto"/>
            <w:vAlign w:val="center"/>
          </w:tcPr>
          <w:p w14:paraId="78C6642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AEA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728" w:type="dxa"/>
            <w:vMerge w:val="continue"/>
            <w:shd w:val="clear" w:color="auto" w:fill="auto"/>
            <w:vAlign w:val="center"/>
          </w:tcPr>
          <w:p w14:paraId="5D75BD7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AB128C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FB2BF68">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24CA247">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EBC8E4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2、有年度培训计划，培训记录和培训计划基本能对应，但培训没有效果评价</w:t>
            </w:r>
          </w:p>
        </w:tc>
        <w:tc>
          <w:tcPr>
            <w:tcW w:w="1009" w:type="dxa"/>
            <w:shd w:val="clear" w:color="auto" w:fill="auto"/>
            <w:vAlign w:val="center"/>
          </w:tcPr>
          <w:p w14:paraId="1477FF7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5C58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728" w:type="dxa"/>
            <w:vMerge w:val="continue"/>
            <w:shd w:val="clear" w:color="auto" w:fill="auto"/>
            <w:vAlign w:val="center"/>
          </w:tcPr>
          <w:p w14:paraId="7234848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A9E7180">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89E6577">
            <w:pPr>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7B03DCA">
            <w:pPr>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2E2850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3、无年度培训计划，培训记录不完整</w:t>
            </w:r>
          </w:p>
        </w:tc>
        <w:tc>
          <w:tcPr>
            <w:tcW w:w="1009" w:type="dxa"/>
            <w:shd w:val="clear" w:color="auto" w:fill="auto"/>
            <w:vAlign w:val="center"/>
          </w:tcPr>
          <w:p w14:paraId="18A9518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0961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2A25993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w:t>
            </w:r>
            <w:r>
              <w:rPr>
                <w:rFonts w:hint="eastAsia" w:ascii="宋体" w:hAnsi="宋体" w:eastAsia="宋体" w:cs="宋体"/>
                <w:b w:val="0"/>
                <w:bCs w:val="0"/>
                <w:i w:val="0"/>
                <w:iCs w:val="0"/>
                <w:color w:val="000000"/>
                <w:kern w:val="0"/>
                <w:sz w:val="18"/>
                <w:szCs w:val="18"/>
                <w:u w:val="none"/>
                <w:lang w:val="en-US" w:eastAsia="zh-CN" w:bidi="ar"/>
              </w:rPr>
              <w:t xml:space="preserve"> 保持设施设备档案、清单和近半年内的设施设备保养、维护记录。</w:t>
            </w:r>
          </w:p>
        </w:tc>
        <w:tc>
          <w:tcPr>
            <w:tcW w:w="977" w:type="dxa"/>
            <w:vMerge w:val="restart"/>
            <w:shd w:val="clear" w:color="auto" w:fill="auto"/>
            <w:vAlign w:val="center"/>
          </w:tcPr>
          <w:p w14:paraId="13EFCA6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0CCB9D8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1、设施设备清单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2、保养计划和记录，抽查5份左右（半年内）</w:t>
            </w:r>
          </w:p>
        </w:tc>
        <w:tc>
          <w:tcPr>
            <w:tcW w:w="2769" w:type="dxa"/>
            <w:vMerge w:val="restart"/>
            <w:shd w:val="clear" w:color="auto" w:fill="auto"/>
            <w:vAlign w:val="center"/>
          </w:tcPr>
          <w:p w14:paraId="6B051B3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3574" w:type="dxa"/>
            <w:shd w:val="clear" w:color="auto" w:fill="auto"/>
            <w:vAlign w:val="center"/>
          </w:tcPr>
          <w:p w14:paraId="6FD7D6D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1、建立设施设备清单、保养计划、不缺项且保养记录合理有效</w:t>
            </w:r>
          </w:p>
        </w:tc>
        <w:tc>
          <w:tcPr>
            <w:tcW w:w="1009" w:type="dxa"/>
            <w:shd w:val="clear" w:color="auto" w:fill="auto"/>
            <w:vAlign w:val="center"/>
          </w:tcPr>
          <w:p w14:paraId="39DF4B7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1829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6C0A113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84041C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5CFD305">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3C3E41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EB8DDD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2、建立设施设备清单、保养计划、保养记录，不缺项个别记录不完整</w:t>
            </w:r>
          </w:p>
        </w:tc>
        <w:tc>
          <w:tcPr>
            <w:tcW w:w="1009" w:type="dxa"/>
            <w:shd w:val="clear" w:color="auto" w:fill="auto"/>
            <w:vAlign w:val="center"/>
          </w:tcPr>
          <w:p w14:paraId="7E3F48C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38FA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17E5C0CB">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BE1E4F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F4A50F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282B6EE">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C7DCBF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3、建立设施设备清单、保养计划、保养记录，有缺项，不完整</w:t>
            </w:r>
          </w:p>
        </w:tc>
        <w:tc>
          <w:tcPr>
            <w:tcW w:w="1009" w:type="dxa"/>
            <w:shd w:val="clear" w:color="auto" w:fill="auto"/>
            <w:vAlign w:val="center"/>
          </w:tcPr>
          <w:p w14:paraId="31D3CEB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5C98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728" w:type="dxa"/>
            <w:vMerge w:val="restart"/>
            <w:shd w:val="clear" w:color="auto" w:fill="auto"/>
            <w:vAlign w:val="center"/>
          </w:tcPr>
          <w:p w14:paraId="791918D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5</w:t>
            </w:r>
            <w:r>
              <w:rPr>
                <w:rFonts w:hint="eastAsia" w:ascii="宋体" w:hAnsi="宋体" w:eastAsia="宋体" w:cs="宋体"/>
                <w:b w:val="0"/>
                <w:bCs w:val="0"/>
                <w:i w:val="0"/>
                <w:iCs w:val="0"/>
                <w:color w:val="000000"/>
                <w:kern w:val="0"/>
                <w:sz w:val="18"/>
                <w:szCs w:val="18"/>
                <w:u w:val="none"/>
                <w:lang w:val="en-US" w:eastAsia="zh-CN" w:bidi="ar"/>
              </w:rPr>
              <w:t xml:space="preserve"> 如有特种设备，应保持特种设备清单，并对特种设备进行法定检验。</w:t>
            </w:r>
          </w:p>
        </w:tc>
        <w:tc>
          <w:tcPr>
            <w:tcW w:w="977" w:type="dxa"/>
            <w:vMerge w:val="restart"/>
            <w:shd w:val="clear" w:color="auto" w:fill="auto"/>
            <w:vAlign w:val="center"/>
          </w:tcPr>
          <w:p w14:paraId="526F5E3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2E3F9C5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1、特种设备清单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2、外部检定或确认记录，抽查5台左右</w:t>
            </w:r>
          </w:p>
        </w:tc>
        <w:tc>
          <w:tcPr>
            <w:tcW w:w="2769" w:type="dxa"/>
            <w:vMerge w:val="restart"/>
            <w:shd w:val="clear" w:color="auto" w:fill="auto"/>
            <w:vAlign w:val="center"/>
          </w:tcPr>
          <w:p w14:paraId="17720D8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6BF82EF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1、建立特种设施设备清单、由外部机构的检查记录完整且全覆盖</w:t>
            </w:r>
          </w:p>
        </w:tc>
        <w:tc>
          <w:tcPr>
            <w:tcW w:w="1009" w:type="dxa"/>
            <w:shd w:val="clear" w:color="auto" w:fill="auto"/>
            <w:vAlign w:val="center"/>
          </w:tcPr>
          <w:p w14:paraId="3DC0D0E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053D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2728" w:type="dxa"/>
            <w:vMerge w:val="continue"/>
            <w:shd w:val="clear" w:color="auto" w:fill="auto"/>
            <w:vAlign w:val="center"/>
          </w:tcPr>
          <w:p w14:paraId="4089CD5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ADD4B2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36BACA0">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0A48C2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7C3F17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2、建立特种设施设备清单、有超期但有外部机构的检查计划的</w:t>
            </w:r>
          </w:p>
        </w:tc>
        <w:tc>
          <w:tcPr>
            <w:tcW w:w="1009" w:type="dxa"/>
            <w:shd w:val="clear" w:color="auto" w:fill="auto"/>
            <w:vAlign w:val="center"/>
          </w:tcPr>
          <w:p w14:paraId="399491A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9A1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2728" w:type="dxa"/>
            <w:vMerge w:val="continue"/>
            <w:shd w:val="clear" w:color="auto" w:fill="auto"/>
            <w:vAlign w:val="center"/>
          </w:tcPr>
          <w:p w14:paraId="56E2A42D">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6A4086C">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B9E1C2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F3CCE2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9F0E47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3、建立特种设施设备清单、有超期的又无外部机构的检查计划的</w:t>
            </w:r>
          </w:p>
        </w:tc>
        <w:tc>
          <w:tcPr>
            <w:tcW w:w="1009" w:type="dxa"/>
            <w:shd w:val="clear" w:color="auto" w:fill="auto"/>
            <w:vAlign w:val="center"/>
          </w:tcPr>
          <w:p w14:paraId="74D6FF5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51F4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6F1D40A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6</w:t>
            </w:r>
            <w:r>
              <w:rPr>
                <w:rFonts w:hint="eastAsia" w:ascii="宋体" w:hAnsi="宋体" w:eastAsia="宋体" w:cs="宋体"/>
                <w:b w:val="0"/>
                <w:bCs w:val="0"/>
                <w:i w:val="0"/>
                <w:iCs w:val="0"/>
                <w:color w:val="000000"/>
                <w:kern w:val="0"/>
                <w:sz w:val="18"/>
                <w:szCs w:val="18"/>
                <w:u w:val="none"/>
                <w:lang w:val="en-US" w:eastAsia="zh-CN" w:bidi="ar"/>
              </w:rPr>
              <w:t xml:space="preserve"> 保持监视测量设备清单、周期校准计划和内外部校准记录。</w:t>
            </w:r>
          </w:p>
        </w:tc>
        <w:tc>
          <w:tcPr>
            <w:tcW w:w="977" w:type="dxa"/>
            <w:vMerge w:val="restart"/>
            <w:shd w:val="clear" w:color="auto" w:fill="auto"/>
            <w:vAlign w:val="center"/>
          </w:tcPr>
          <w:p w14:paraId="7646646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4EB1753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1、监视和测量设备（即计量器具）清单，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2、校准计划及校准记录（第三方和内部校准）</w:t>
            </w:r>
          </w:p>
        </w:tc>
        <w:tc>
          <w:tcPr>
            <w:tcW w:w="2769" w:type="dxa"/>
            <w:vMerge w:val="restart"/>
            <w:shd w:val="clear" w:color="auto" w:fill="auto"/>
            <w:vAlign w:val="center"/>
          </w:tcPr>
          <w:p w14:paraId="6075C1F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3451A71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1、建立监视和测量设备清单、校准计划、且有定期的外部机构或内校校准记录的</w:t>
            </w:r>
          </w:p>
        </w:tc>
        <w:tc>
          <w:tcPr>
            <w:tcW w:w="1009" w:type="dxa"/>
            <w:shd w:val="clear" w:color="auto" w:fill="auto"/>
            <w:vAlign w:val="center"/>
          </w:tcPr>
          <w:p w14:paraId="2A64C82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004D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0E33FC8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74A64A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CB5224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30E86E4">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449FC8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2、建立监视和测量设备清单、有定期外部机构或内校校准记录的，有个别超期的（10%以下）</w:t>
            </w:r>
          </w:p>
        </w:tc>
        <w:tc>
          <w:tcPr>
            <w:tcW w:w="1009" w:type="dxa"/>
            <w:shd w:val="clear" w:color="auto" w:fill="auto"/>
            <w:vAlign w:val="center"/>
          </w:tcPr>
          <w:p w14:paraId="18CBD59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1DC8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4868F3BB">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C27F91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28DB40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99B5C5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487CFE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3、建立监视和测量设备清单、有定期外部机构或内校校准记录的，有部分超期的（30%以下）</w:t>
            </w:r>
          </w:p>
        </w:tc>
        <w:tc>
          <w:tcPr>
            <w:tcW w:w="1009" w:type="dxa"/>
            <w:shd w:val="clear" w:color="auto" w:fill="auto"/>
            <w:vAlign w:val="center"/>
          </w:tcPr>
          <w:p w14:paraId="394830C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1F13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restart"/>
            <w:shd w:val="clear" w:color="auto" w:fill="auto"/>
            <w:vAlign w:val="center"/>
          </w:tcPr>
          <w:p w14:paraId="289EFE3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7</w:t>
            </w:r>
            <w:r>
              <w:rPr>
                <w:rFonts w:hint="eastAsia" w:ascii="宋体" w:hAnsi="宋体" w:eastAsia="宋体" w:cs="宋体"/>
                <w:b w:val="0"/>
                <w:bCs w:val="0"/>
                <w:i w:val="0"/>
                <w:iCs w:val="0"/>
                <w:color w:val="000000"/>
                <w:kern w:val="0"/>
                <w:sz w:val="18"/>
                <w:szCs w:val="18"/>
                <w:u w:val="none"/>
                <w:lang w:val="en-US" w:eastAsia="zh-CN" w:bidi="ar"/>
              </w:rPr>
              <w:t xml:space="preserve"> 保持监视测量设备校准标识。</w:t>
            </w:r>
          </w:p>
        </w:tc>
        <w:tc>
          <w:tcPr>
            <w:tcW w:w="977" w:type="dxa"/>
            <w:vMerge w:val="restart"/>
            <w:shd w:val="clear" w:color="auto" w:fill="auto"/>
            <w:vAlign w:val="center"/>
          </w:tcPr>
          <w:p w14:paraId="7E57E68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7DB3426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1、现场抽样一个至三个监测器具的标识确认</w:t>
            </w:r>
          </w:p>
        </w:tc>
        <w:tc>
          <w:tcPr>
            <w:tcW w:w="2769" w:type="dxa"/>
            <w:vMerge w:val="restart"/>
            <w:shd w:val="clear" w:color="auto" w:fill="auto"/>
            <w:vAlign w:val="center"/>
          </w:tcPr>
          <w:p w14:paraId="36EBFCE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3574" w:type="dxa"/>
            <w:shd w:val="clear" w:color="auto" w:fill="auto"/>
            <w:vAlign w:val="center"/>
          </w:tcPr>
          <w:p w14:paraId="6D8D334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1、监视和测量设备校准标识保存完整、清楚</w:t>
            </w:r>
          </w:p>
        </w:tc>
        <w:tc>
          <w:tcPr>
            <w:tcW w:w="1009" w:type="dxa"/>
            <w:shd w:val="clear" w:color="auto" w:fill="auto"/>
            <w:vAlign w:val="center"/>
          </w:tcPr>
          <w:p w14:paraId="4CC9142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5F96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473E801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7184DF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C33D22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75EEFC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2AF276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2、有个别监视和测量设备校准标识遗漏或损坏</w:t>
            </w:r>
          </w:p>
        </w:tc>
        <w:tc>
          <w:tcPr>
            <w:tcW w:w="1009" w:type="dxa"/>
            <w:shd w:val="clear" w:color="auto" w:fill="auto"/>
            <w:vAlign w:val="center"/>
          </w:tcPr>
          <w:p w14:paraId="74E27B7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7C6C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12E4483C">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FEA34B7">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B91F9F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A7B932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CB4796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3、有部分监视和测量设备校准标识遗漏和损坏</w:t>
            </w:r>
          </w:p>
        </w:tc>
        <w:tc>
          <w:tcPr>
            <w:tcW w:w="1009" w:type="dxa"/>
            <w:shd w:val="clear" w:color="auto" w:fill="auto"/>
            <w:vAlign w:val="center"/>
          </w:tcPr>
          <w:p w14:paraId="6FB15E3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A86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restart"/>
            <w:shd w:val="clear" w:color="auto" w:fill="auto"/>
            <w:vAlign w:val="center"/>
          </w:tcPr>
          <w:p w14:paraId="3F7940D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8</w:t>
            </w:r>
            <w:r>
              <w:rPr>
                <w:rFonts w:hint="eastAsia" w:ascii="宋体" w:hAnsi="宋体" w:eastAsia="宋体" w:cs="宋体"/>
                <w:b w:val="0"/>
                <w:bCs w:val="0"/>
                <w:i w:val="0"/>
                <w:iCs w:val="0"/>
                <w:color w:val="000000"/>
                <w:kern w:val="0"/>
                <w:sz w:val="18"/>
                <w:szCs w:val="18"/>
                <w:u w:val="none"/>
                <w:lang w:val="en-US" w:eastAsia="zh-CN" w:bidi="ar"/>
              </w:rPr>
              <w:t xml:space="preserve"> 公开产品执行的强制性标准、推荐性标准、团体标准或企业标准。</w:t>
            </w:r>
          </w:p>
        </w:tc>
        <w:tc>
          <w:tcPr>
            <w:tcW w:w="977" w:type="dxa"/>
            <w:vMerge w:val="restart"/>
            <w:shd w:val="clear" w:color="auto" w:fill="auto"/>
            <w:vAlign w:val="center"/>
          </w:tcPr>
          <w:p w14:paraId="48F0117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26DA3E6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全国企业标准信息公共服务平台（https://www.qybz.org.cn/）标准自我声明截图</w:t>
            </w:r>
          </w:p>
        </w:tc>
        <w:tc>
          <w:tcPr>
            <w:tcW w:w="2769" w:type="dxa"/>
            <w:vMerge w:val="restart"/>
            <w:shd w:val="clear" w:color="auto" w:fill="auto"/>
            <w:vAlign w:val="center"/>
          </w:tcPr>
          <w:p w14:paraId="115D3E5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必要时登录全国企业标准信息公共服务平台https://www.qybz.org.cn/）查询</w:t>
            </w:r>
          </w:p>
        </w:tc>
        <w:tc>
          <w:tcPr>
            <w:tcW w:w="3574" w:type="dxa"/>
            <w:shd w:val="clear" w:color="auto" w:fill="auto"/>
            <w:vAlign w:val="center"/>
          </w:tcPr>
          <w:p w14:paraId="64305F9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1、公开企业产品执行标准的</w:t>
            </w:r>
          </w:p>
        </w:tc>
        <w:tc>
          <w:tcPr>
            <w:tcW w:w="1009" w:type="dxa"/>
            <w:shd w:val="clear" w:color="auto" w:fill="auto"/>
            <w:vAlign w:val="center"/>
          </w:tcPr>
          <w:p w14:paraId="5382F1F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20分</w:t>
            </w:r>
          </w:p>
        </w:tc>
      </w:tr>
      <w:tr w14:paraId="77D9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60" w:hRule="atLeast"/>
        </w:trPr>
        <w:tc>
          <w:tcPr>
            <w:tcW w:w="2728" w:type="dxa"/>
            <w:vMerge w:val="continue"/>
            <w:shd w:val="clear" w:color="auto" w:fill="auto"/>
            <w:vAlign w:val="center"/>
          </w:tcPr>
          <w:p w14:paraId="1AA8B69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A19549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5366825">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65A8F70">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0D28F2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2、虽暂时没有公开的，有计划申请的</w:t>
            </w:r>
          </w:p>
        </w:tc>
        <w:tc>
          <w:tcPr>
            <w:tcW w:w="1009" w:type="dxa"/>
            <w:shd w:val="clear" w:color="auto" w:fill="auto"/>
            <w:vAlign w:val="center"/>
          </w:tcPr>
          <w:p w14:paraId="1179416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10分</w:t>
            </w:r>
          </w:p>
        </w:tc>
      </w:tr>
      <w:tr w14:paraId="35A0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728" w:type="dxa"/>
            <w:vMerge w:val="continue"/>
            <w:shd w:val="clear" w:color="auto" w:fill="auto"/>
            <w:vAlign w:val="center"/>
          </w:tcPr>
          <w:p w14:paraId="3BA51B6C">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B9BF01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EAEA36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27B3F24">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862FB0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3、没有公开，也没有计划申请的</w:t>
            </w:r>
          </w:p>
        </w:tc>
        <w:tc>
          <w:tcPr>
            <w:tcW w:w="1009" w:type="dxa"/>
            <w:shd w:val="clear" w:color="auto" w:fill="auto"/>
            <w:vAlign w:val="center"/>
          </w:tcPr>
          <w:p w14:paraId="0760E25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6D15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2CF9587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9</w:t>
            </w:r>
            <w:r>
              <w:rPr>
                <w:rFonts w:hint="eastAsia" w:ascii="宋体" w:hAnsi="宋体" w:eastAsia="宋体" w:cs="宋体"/>
                <w:b w:val="0"/>
                <w:bCs w:val="0"/>
                <w:i w:val="0"/>
                <w:iCs w:val="0"/>
                <w:color w:val="000000"/>
                <w:kern w:val="0"/>
                <w:sz w:val="18"/>
                <w:szCs w:val="18"/>
                <w:u w:val="none"/>
                <w:lang w:val="en-US" w:eastAsia="zh-CN" w:bidi="ar"/>
              </w:rPr>
              <w:t xml:space="preserve"> 保持合同或订单评审和变更后控制的记录。</w:t>
            </w:r>
          </w:p>
        </w:tc>
        <w:tc>
          <w:tcPr>
            <w:tcW w:w="977" w:type="dxa"/>
            <w:vMerge w:val="restart"/>
            <w:shd w:val="clear" w:color="auto" w:fill="auto"/>
            <w:vAlign w:val="center"/>
          </w:tcPr>
          <w:p w14:paraId="2C93AB3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17C5752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1、订单评审确认情况（需有授权人签名）</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2、年度合同确认情况（需有授权人签名）</w:t>
            </w:r>
          </w:p>
        </w:tc>
        <w:tc>
          <w:tcPr>
            <w:tcW w:w="2769" w:type="dxa"/>
            <w:vMerge w:val="restart"/>
            <w:shd w:val="clear" w:color="auto" w:fill="auto"/>
            <w:vAlign w:val="center"/>
          </w:tcPr>
          <w:p w14:paraId="716F23E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2F5D038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1、实施了订单或合同评审，并保持完整记录的，并对变革后的订单实施管理的</w:t>
            </w:r>
          </w:p>
        </w:tc>
        <w:tc>
          <w:tcPr>
            <w:tcW w:w="1009" w:type="dxa"/>
            <w:shd w:val="clear" w:color="auto" w:fill="auto"/>
            <w:vAlign w:val="center"/>
          </w:tcPr>
          <w:p w14:paraId="479A22D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0105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569AB84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8BE1FB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50C173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C9ECD40">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C249A1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2、实施了订单或合同评审，并保持完整记录的，但对变革后的订单没有实施管理</w:t>
            </w:r>
          </w:p>
        </w:tc>
        <w:tc>
          <w:tcPr>
            <w:tcW w:w="1009" w:type="dxa"/>
            <w:shd w:val="clear" w:color="auto" w:fill="auto"/>
            <w:vAlign w:val="center"/>
          </w:tcPr>
          <w:p w14:paraId="22E6863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458B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37EF5FE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92E100F">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000C73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1B33637">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20E571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3、实施了订单或合同评审，记录不完整的，但对变革后的订单没有实施管理</w:t>
            </w:r>
          </w:p>
        </w:tc>
        <w:tc>
          <w:tcPr>
            <w:tcW w:w="1009" w:type="dxa"/>
            <w:shd w:val="clear" w:color="auto" w:fill="auto"/>
            <w:vAlign w:val="center"/>
          </w:tcPr>
          <w:p w14:paraId="65B05B0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5248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1CE5848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10</w:t>
            </w:r>
            <w:r>
              <w:rPr>
                <w:rFonts w:hint="eastAsia" w:ascii="宋体" w:hAnsi="宋体" w:eastAsia="宋体" w:cs="宋体"/>
                <w:b w:val="0"/>
                <w:bCs w:val="0"/>
                <w:i w:val="0"/>
                <w:iCs w:val="0"/>
                <w:color w:val="000000"/>
                <w:kern w:val="0"/>
                <w:sz w:val="18"/>
                <w:szCs w:val="18"/>
                <w:u w:val="none"/>
                <w:lang w:val="en-US" w:eastAsia="zh-CN" w:bidi="ar"/>
              </w:rPr>
              <w:t xml:space="preserve"> 保持客户满意调查实施记录。</w:t>
            </w:r>
          </w:p>
        </w:tc>
        <w:tc>
          <w:tcPr>
            <w:tcW w:w="977" w:type="dxa"/>
            <w:vMerge w:val="restart"/>
            <w:shd w:val="clear" w:color="auto" w:fill="auto"/>
            <w:vAlign w:val="center"/>
          </w:tcPr>
          <w:p w14:paraId="256977F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340E64A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1、客户投诉及处置记录（含线上销售）</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2、客户满意调查的记录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3、召回管理规定</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 xml:space="preserve">同时根据上述资料确认4.2.2、4.2.5指标得分情况 </w:t>
            </w:r>
          </w:p>
        </w:tc>
        <w:tc>
          <w:tcPr>
            <w:tcW w:w="2769" w:type="dxa"/>
            <w:vMerge w:val="restart"/>
            <w:shd w:val="clear" w:color="auto" w:fill="auto"/>
            <w:vAlign w:val="center"/>
          </w:tcPr>
          <w:p w14:paraId="44710F4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158DECB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1、实施了顾客满意度调查，建立召回管理制度，并保持记录的，记录真实可信的</w:t>
            </w:r>
          </w:p>
        </w:tc>
        <w:tc>
          <w:tcPr>
            <w:tcW w:w="1009" w:type="dxa"/>
            <w:shd w:val="clear" w:color="auto" w:fill="auto"/>
            <w:vAlign w:val="center"/>
          </w:tcPr>
          <w:p w14:paraId="55CB50B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78F0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74E3CE87">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16A049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D225BB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1B31900">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7712EF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2、实施了顾客满意度调查，建立召回管理制度，记录基本可信的</w:t>
            </w:r>
          </w:p>
        </w:tc>
        <w:tc>
          <w:tcPr>
            <w:tcW w:w="1009" w:type="dxa"/>
            <w:shd w:val="clear" w:color="auto" w:fill="auto"/>
            <w:vAlign w:val="center"/>
          </w:tcPr>
          <w:p w14:paraId="352FA82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2278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4305F49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8C0A6D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0FC0B8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BB3CF6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A1DF1E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3、实施顾客满意度调查，未建立召回管理制度的</w:t>
            </w:r>
          </w:p>
        </w:tc>
        <w:tc>
          <w:tcPr>
            <w:tcW w:w="1009" w:type="dxa"/>
            <w:shd w:val="clear" w:color="auto" w:fill="auto"/>
            <w:vAlign w:val="center"/>
          </w:tcPr>
          <w:p w14:paraId="2CF0A89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40DD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restart"/>
            <w:shd w:val="clear" w:color="auto" w:fill="auto"/>
            <w:vAlign w:val="center"/>
          </w:tcPr>
          <w:p w14:paraId="425A7A2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11</w:t>
            </w:r>
            <w:r>
              <w:rPr>
                <w:rFonts w:hint="eastAsia" w:ascii="宋体" w:hAnsi="宋体" w:eastAsia="宋体" w:cs="宋体"/>
                <w:b w:val="0"/>
                <w:bCs w:val="0"/>
                <w:i w:val="0"/>
                <w:iCs w:val="0"/>
                <w:color w:val="000000"/>
                <w:kern w:val="0"/>
                <w:sz w:val="18"/>
                <w:szCs w:val="18"/>
                <w:u w:val="none"/>
                <w:lang w:val="en-US" w:eastAsia="zh-CN" w:bidi="ar"/>
              </w:rPr>
              <w:t xml:space="preserve"> 保持产品开发或工艺设计的过程记录。</w:t>
            </w:r>
          </w:p>
        </w:tc>
        <w:tc>
          <w:tcPr>
            <w:tcW w:w="977" w:type="dxa"/>
            <w:vMerge w:val="restart"/>
            <w:shd w:val="clear" w:color="auto" w:fill="auto"/>
            <w:vAlign w:val="center"/>
          </w:tcPr>
          <w:p w14:paraId="5AF66B7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741045B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1、产品设计开始计划书</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2、设计开发确认记录(含客户确认记录或第三方型式试验报告）</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3、产品设计阶段性的检测报告（内部）</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4、产品风险评估报告，CCP计划（关键控制点计划）、FEMA报告</w:t>
            </w:r>
          </w:p>
        </w:tc>
        <w:tc>
          <w:tcPr>
            <w:tcW w:w="2769" w:type="dxa"/>
            <w:vMerge w:val="restart"/>
            <w:shd w:val="clear" w:color="auto" w:fill="auto"/>
            <w:vAlign w:val="center"/>
          </w:tcPr>
          <w:p w14:paraId="7AAAFD3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1D2E85B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1、产品开发或工艺设计的过程记录完整，包括设计计划书、样品制作、批量生产等</w:t>
            </w:r>
          </w:p>
        </w:tc>
        <w:tc>
          <w:tcPr>
            <w:tcW w:w="1009" w:type="dxa"/>
            <w:shd w:val="clear" w:color="auto" w:fill="auto"/>
            <w:vAlign w:val="center"/>
          </w:tcPr>
          <w:p w14:paraId="57AB216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0A65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3BA4C11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7B61FE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913362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4A4DAA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9CF305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2、有产品开发或工艺设计的过程记录，但不完整</w:t>
            </w:r>
          </w:p>
        </w:tc>
        <w:tc>
          <w:tcPr>
            <w:tcW w:w="1009" w:type="dxa"/>
            <w:shd w:val="clear" w:color="auto" w:fill="auto"/>
            <w:vAlign w:val="center"/>
          </w:tcPr>
          <w:p w14:paraId="35DD741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260A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72A3EF3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6EE1C6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2FF2FD0">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314618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D3FDC6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3、保持产品开发或工艺设计部分过程记录，过程记录存在明显的缺陷</w:t>
            </w:r>
          </w:p>
        </w:tc>
        <w:tc>
          <w:tcPr>
            <w:tcW w:w="1009" w:type="dxa"/>
            <w:shd w:val="clear" w:color="auto" w:fill="auto"/>
            <w:vAlign w:val="center"/>
          </w:tcPr>
          <w:p w14:paraId="62678D5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04FF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728" w:type="dxa"/>
            <w:vMerge w:val="restart"/>
            <w:shd w:val="clear" w:color="auto" w:fill="auto"/>
            <w:vAlign w:val="center"/>
          </w:tcPr>
          <w:p w14:paraId="301CF81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12</w:t>
            </w:r>
            <w:r>
              <w:rPr>
                <w:rFonts w:hint="eastAsia" w:ascii="宋体" w:hAnsi="宋体" w:eastAsia="宋体" w:cs="宋体"/>
                <w:b w:val="0"/>
                <w:bCs w:val="0"/>
                <w:i w:val="0"/>
                <w:iCs w:val="0"/>
                <w:color w:val="000000"/>
                <w:kern w:val="0"/>
                <w:sz w:val="18"/>
                <w:szCs w:val="18"/>
                <w:u w:val="none"/>
                <w:lang w:val="en-US" w:eastAsia="zh-CN" w:bidi="ar"/>
              </w:rPr>
              <w:t xml:space="preserve"> 在产品投入批量生产前，按照确定的标准实施产品检测，保留检测记录。</w:t>
            </w:r>
          </w:p>
        </w:tc>
        <w:tc>
          <w:tcPr>
            <w:tcW w:w="977" w:type="dxa"/>
            <w:vMerge w:val="restart"/>
            <w:shd w:val="clear" w:color="auto" w:fill="auto"/>
            <w:vAlign w:val="center"/>
          </w:tcPr>
          <w:p w14:paraId="763D95F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continue"/>
            <w:shd w:val="clear" w:color="auto" w:fill="auto"/>
            <w:vAlign w:val="center"/>
          </w:tcPr>
          <w:p w14:paraId="02C86A7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4670224">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1F4184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1、产品投入批量生产前，按照确定的标准实施产品检测，保留检测记录（含第三方的检测记录）</w:t>
            </w:r>
          </w:p>
        </w:tc>
        <w:tc>
          <w:tcPr>
            <w:tcW w:w="1009" w:type="dxa"/>
            <w:shd w:val="clear" w:color="auto" w:fill="auto"/>
            <w:vAlign w:val="center"/>
          </w:tcPr>
          <w:p w14:paraId="07F9062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1142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273B0BCC">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196573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59C736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D5EDA7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CEA86E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2、产品投入批量生产前，部分按照确定的标准实施产品检测（不影响产品安全），保留检测记录（(含第三方的检测记录）</w:t>
            </w:r>
          </w:p>
        </w:tc>
        <w:tc>
          <w:tcPr>
            <w:tcW w:w="1009" w:type="dxa"/>
            <w:shd w:val="clear" w:color="auto" w:fill="auto"/>
            <w:vAlign w:val="center"/>
          </w:tcPr>
          <w:p w14:paraId="67DB22F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4155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1CB4CDC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4FD714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2278F5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8252AD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2DA64A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3、产品投入批量生产前，不能完全按照确定的标准实施产品检测（影响产品安全），没有保留检测记录（(含第三方的检测记录）</w:t>
            </w:r>
          </w:p>
        </w:tc>
        <w:tc>
          <w:tcPr>
            <w:tcW w:w="1009" w:type="dxa"/>
            <w:shd w:val="clear" w:color="auto" w:fill="auto"/>
            <w:vAlign w:val="center"/>
          </w:tcPr>
          <w:p w14:paraId="7DF3A77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1A12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4B71C94D">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13</w:t>
            </w:r>
            <w:r>
              <w:rPr>
                <w:rFonts w:hint="eastAsia" w:ascii="宋体" w:hAnsi="宋体" w:eastAsia="宋体" w:cs="宋体"/>
                <w:b w:val="0"/>
                <w:bCs w:val="0"/>
                <w:i w:val="0"/>
                <w:iCs w:val="0"/>
                <w:color w:val="000000"/>
                <w:kern w:val="0"/>
                <w:sz w:val="18"/>
                <w:szCs w:val="18"/>
                <w:u w:val="none"/>
                <w:lang w:val="en-US" w:eastAsia="zh-CN" w:bidi="ar"/>
              </w:rPr>
              <w:t xml:space="preserve"> 保持产品试生产和产品放产批准记录。</w:t>
            </w:r>
          </w:p>
        </w:tc>
        <w:tc>
          <w:tcPr>
            <w:tcW w:w="977" w:type="dxa"/>
            <w:vMerge w:val="restart"/>
            <w:shd w:val="clear" w:color="auto" w:fill="auto"/>
            <w:vAlign w:val="center"/>
          </w:tcPr>
          <w:p w14:paraId="1514E29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3752402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09FC56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2B618F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1、能保持完整的产品试生产和产品放产批准记录。二者就有的</w:t>
            </w:r>
          </w:p>
        </w:tc>
        <w:tc>
          <w:tcPr>
            <w:tcW w:w="1009" w:type="dxa"/>
            <w:shd w:val="clear" w:color="auto" w:fill="auto"/>
            <w:vAlign w:val="center"/>
          </w:tcPr>
          <w:p w14:paraId="77806B3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57C8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5D267295">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CA4B1F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1A8A3A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137F62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697B48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2、能保持产品试生产记录或放产批准记录之一的。</w:t>
            </w:r>
          </w:p>
        </w:tc>
        <w:tc>
          <w:tcPr>
            <w:tcW w:w="1009" w:type="dxa"/>
            <w:shd w:val="clear" w:color="auto" w:fill="auto"/>
            <w:vAlign w:val="center"/>
          </w:tcPr>
          <w:p w14:paraId="2B6D8A2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0046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5536DB54">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E0AA0D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98075C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1A0458D">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A18D11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3、没有试生产和放产批准记录的</w:t>
            </w:r>
          </w:p>
        </w:tc>
        <w:tc>
          <w:tcPr>
            <w:tcW w:w="1009" w:type="dxa"/>
            <w:shd w:val="clear" w:color="auto" w:fill="auto"/>
            <w:vAlign w:val="center"/>
          </w:tcPr>
          <w:p w14:paraId="5CE622E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6903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4D91BCDD">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14</w:t>
            </w:r>
            <w:r>
              <w:rPr>
                <w:rFonts w:hint="eastAsia" w:ascii="宋体" w:hAnsi="宋体" w:eastAsia="宋体" w:cs="宋体"/>
                <w:b w:val="0"/>
                <w:bCs w:val="0"/>
                <w:i w:val="0"/>
                <w:iCs w:val="0"/>
                <w:color w:val="000000"/>
                <w:kern w:val="0"/>
                <w:sz w:val="18"/>
                <w:szCs w:val="18"/>
                <w:u w:val="none"/>
                <w:lang w:val="en-US" w:eastAsia="zh-CN" w:bidi="ar"/>
              </w:rPr>
              <w:t xml:space="preserve"> 保持新产品安全风险评估记录。</w:t>
            </w:r>
          </w:p>
        </w:tc>
        <w:tc>
          <w:tcPr>
            <w:tcW w:w="977" w:type="dxa"/>
            <w:vMerge w:val="restart"/>
            <w:shd w:val="clear" w:color="auto" w:fill="auto"/>
            <w:vAlign w:val="center"/>
          </w:tcPr>
          <w:p w14:paraId="271657B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continue"/>
            <w:shd w:val="clear" w:color="auto" w:fill="auto"/>
            <w:vAlign w:val="center"/>
          </w:tcPr>
          <w:p w14:paraId="32697DB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F637FF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773631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1、有能全面评估产品设计和生产过程的中涉及的风险的记录</w:t>
            </w:r>
          </w:p>
        </w:tc>
        <w:tc>
          <w:tcPr>
            <w:tcW w:w="1009" w:type="dxa"/>
            <w:shd w:val="clear" w:color="auto" w:fill="auto"/>
            <w:vAlign w:val="center"/>
          </w:tcPr>
          <w:p w14:paraId="6E5414A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3355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127CEF6D">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A51B53F">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10F4A3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C880AA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83CB9B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2、有能评估产品设计和生产过程的中涉及的风险的记录</w:t>
            </w:r>
          </w:p>
        </w:tc>
        <w:tc>
          <w:tcPr>
            <w:tcW w:w="1009" w:type="dxa"/>
            <w:shd w:val="clear" w:color="auto" w:fill="auto"/>
            <w:vAlign w:val="center"/>
          </w:tcPr>
          <w:p w14:paraId="70A39D7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1B4C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773D1F2A">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5533D5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5D1B64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58E96B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009330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3、有能评估产品设计和生产过程的中涉及的风险记录，但有缺项的</w:t>
            </w:r>
          </w:p>
        </w:tc>
        <w:tc>
          <w:tcPr>
            <w:tcW w:w="1009" w:type="dxa"/>
            <w:shd w:val="clear" w:color="auto" w:fill="auto"/>
            <w:vAlign w:val="center"/>
          </w:tcPr>
          <w:p w14:paraId="098E329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29CD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28" w:type="dxa"/>
            <w:vMerge w:val="restart"/>
            <w:shd w:val="clear" w:color="auto" w:fill="auto"/>
            <w:vAlign w:val="center"/>
          </w:tcPr>
          <w:p w14:paraId="2EC6B90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15</w:t>
            </w:r>
            <w:r>
              <w:rPr>
                <w:rFonts w:hint="eastAsia" w:ascii="宋体" w:hAnsi="宋体" w:eastAsia="宋体" w:cs="宋体"/>
                <w:b w:val="0"/>
                <w:bCs w:val="0"/>
                <w:i w:val="0"/>
                <w:iCs w:val="0"/>
                <w:color w:val="000000"/>
                <w:kern w:val="0"/>
                <w:sz w:val="18"/>
                <w:szCs w:val="18"/>
                <w:u w:val="none"/>
                <w:lang w:val="en-US" w:eastAsia="zh-CN" w:bidi="ar"/>
              </w:rPr>
              <w:t xml:space="preserve"> 保持供应商（含外包方）初次评价和定期评价的记录。</w:t>
            </w:r>
          </w:p>
        </w:tc>
        <w:tc>
          <w:tcPr>
            <w:tcW w:w="977" w:type="dxa"/>
            <w:vMerge w:val="restart"/>
            <w:shd w:val="clear" w:color="auto" w:fill="auto"/>
            <w:vAlign w:val="center"/>
          </w:tcPr>
          <w:p w14:paraId="2A45141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2047DFC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1、供应商清单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2、定期评价记录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3、初次供货或者年度确认记录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4、来料检验报告</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5、供货不合格品的处置记录</w:t>
            </w:r>
          </w:p>
        </w:tc>
        <w:tc>
          <w:tcPr>
            <w:tcW w:w="2769" w:type="dxa"/>
            <w:vMerge w:val="restart"/>
            <w:shd w:val="clear" w:color="auto" w:fill="auto"/>
            <w:vAlign w:val="center"/>
          </w:tcPr>
          <w:p w14:paraId="63D44CE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现场资料评审（本条款和3.6.2结合确认）</w:t>
            </w:r>
          </w:p>
        </w:tc>
        <w:tc>
          <w:tcPr>
            <w:tcW w:w="3574" w:type="dxa"/>
            <w:shd w:val="clear" w:color="auto" w:fill="auto"/>
            <w:vAlign w:val="center"/>
          </w:tcPr>
          <w:p w14:paraId="4FE7419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1、完整保持供应商（含外包方）初次评价和定期评价的记录</w:t>
            </w:r>
          </w:p>
        </w:tc>
        <w:tc>
          <w:tcPr>
            <w:tcW w:w="1009" w:type="dxa"/>
            <w:shd w:val="clear" w:color="auto" w:fill="auto"/>
            <w:vAlign w:val="center"/>
          </w:tcPr>
          <w:p w14:paraId="10C1705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525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7134937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7C1DC7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42439E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585CCE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6873A9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2、保持的供应商（含外包方）定期评价的记录不能覆盖全部供应商的，但是能覆盖主要材料供应商的</w:t>
            </w:r>
          </w:p>
        </w:tc>
        <w:tc>
          <w:tcPr>
            <w:tcW w:w="1009" w:type="dxa"/>
            <w:shd w:val="clear" w:color="auto" w:fill="auto"/>
            <w:vAlign w:val="center"/>
          </w:tcPr>
          <w:p w14:paraId="26D8CDC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DCF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71E6271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79F12D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4AE102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223240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310888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3、没有建立供应商（含外包方）定期评价</w:t>
            </w:r>
          </w:p>
        </w:tc>
        <w:tc>
          <w:tcPr>
            <w:tcW w:w="1009" w:type="dxa"/>
            <w:shd w:val="clear" w:color="auto" w:fill="auto"/>
            <w:vAlign w:val="center"/>
          </w:tcPr>
          <w:p w14:paraId="5A48AED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66C9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restart"/>
            <w:shd w:val="clear" w:color="auto" w:fill="auto"/>
            <w:vAlign w:val="center"/>
          </w:tcPr>
          <w:p w14:paraId="200BE1F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16</w:t>
            </w:r>
            <w:r>
              <w:rPr>
                <w:rFonts w:hint="eastAsia" w:ascii="宋体" w:hAnsi="宋体" w:eastAsia="宋体" w:cs="宋体"/>
                <w:b w:val="0"/>
                <w:bCs w:val="0"/>
                <w:i w:val="0"/>
                <w:iCs w:val="0"/>
                <w:color w:val="000000"/>
                <w:kern w:val="0"/>
                <w:sz w:val="18"/>
                <w:szCs w:val="18"/>
                <w:u w:val="none"/>
                <w:lang w:val="en-US" w:eastAsia="zh-CN" w:bidi="ar"/>
              </w:rPr>
              <w:t xml:space="preserve"> 保持供应商（含外包方）初次供货验证记录（含测试和检验报告）。</w:t>
            </w:r>
          </w:p>
        </w:tc>
        <w:tc>
          <w:tcPr>
            <w:tcW w:w="977" w:type="dxa"/>
            <w:vMerge w:val="restart"/>
            <w:shd w:val="clear" w:color="auto" w:fill="auto"/>
            <w:vAlign w:val="center"/>
          </w:tcPr>
          <w:p w14:paraId="19B70D5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4FC0EB1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71138F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50FF62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1、保持供应商（含外包方）初次供货验证记录（含测试和检验报告），且记录完整</w:t>
            </w:r>
          </w:p>
        </w:tc>
        <w:tc>
          <w:tcPr>
            <w:tcW w:w="1009" w:type="dxa"/>
            <w:shd w:val="clear" w:color="auto" w:fill="auto"/>
            <w:vAlign w:val="center"/>
          </w:tcPr>
          <w:p w14:paraId="79FD768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886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76200F20">
            <w:pPr>
              <w:jc w:val="center"/>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2F35157">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856D7E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374748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EB7026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2、保持供应商（含外包方）初次供货验证记录（含测试和检验报告），但记录不完整</w:t>
            </w:r>
          </w:p>
        </w:tc>
        <w:tc>
          <w:tcPr>
            <w:tcW w:w="1009" w:type="dxa"/>
            <w:shd w:val="clear" w:color="auto" w:fill="auto"/>
            <w:vAlign w:val="center"/>
          </w:tcPr>
          <w:p w14:paraId="448FB95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4DDE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337F2D3A">
            <w:pPr>
              <w:jc w:val="center"/>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2A9016C">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75E85C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45B0AA8">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ADFD9F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3、未提供供应商（含外包方）初次供货验证记录（含测试和检验报告）</w:t>
            </w:r>
          </w:p>
        </w:tc>
        <w:tc>
          <w:tcPr>
            <w:tcW w:w="1009" w:type="dxa"/>
            <w:shd w:val="clear" w:color="auto" w:fill="auto"/>
            <w:vAlign w:val="center"/>
          </w:tcPr>
          <w:p w14:paraId="6550E63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68C2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restart"/>
            <w:shd w:val="clear" w:color="auto" w:fill="auto"/>
            <w:vAlign w:val="center"/>
          </w:tcPr>
          <w:p w14:paraId="0F625CC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17</w:t>
            </w:r>
            <w:r>
              <w:rPr>
                <w:rFonts w:hint="eastAsia" w:ascii="宋体" w:hAnsi="宋体" w:eastAsia="宋体" w:cs="宋体"/>
                <w:b w:val="0"/>
                <w:bCs w:val="0"/>
                <w:i w:val="0"/>
                <w:iCs w:val="0"/>
                <w:color w:val="000000"/>
                <w:kern w:val="0"/>
                <w:sz w:val="18"/>
                <w:szCs w:val="18"/>
                <w:u w:val="none"/>
                <w:lang w:val="en-US" w:eastAsia="zh-CN" w:bidi="ar"/>
              </w:rPr>
              <w:t xml:space="preserve"> 保持供应商（含外包方）批量供货验证记录（含测试和检验报告）。</w:t>
            </w:r>
          </w:p>
        </w:tc>
        <w:tc>
          <w:tcPr>
            <w:tcW w:w="977" w:type="dxa"/>
            <w:vMerge w:val="restart"/>
            <w:shd w:val="clear" w:color="auto" w:fill="auto"/>
            <w:vAlign w:val="center"/>
          </w:tcPr>
          <w:p w14:paraId="353F0FE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7AF4577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D70E0D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27EB17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1、能提供来料检验报告的，报告内容完整的，可信</w:t>
            </w:r>
          </w:p>
        </w:tc>
        <w:tc>
          <w:tcPr>
            <w:tcW w:w="1009" w:type="dxa"/>
            <w:shd w:val="clear" w:color="auto" w:fill="auto"/>
            <w:vAlign w:val="center"/>
          </w:tcPr>
          <w:p w14:paraId="2C45811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13BB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0A9F745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4E6422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EA9C9B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7EFD33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20444D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2、能提供来料检验报告，但报告内容不完整</w:t>
            </w:r>
          </w:p>
        </w:tc>
        <w:tc>
          <w:tcPr>
            <w:tcW w:w="1009" w:type="dxa"/>
            <w:shd w:val="clear" w:color="auto" w:fill="auto"/>
            <w:vAlign w:val="center"/>
          </w:tcPr>
          <w:p w14:paraId="37E5346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4AEC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6614066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598A9F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C124F6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F2C7114">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18A8FA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3、不能提供来料检验报告的</w:t>
            </w:r>
          </w:p>
        </w:tc>
        <w:tc>
          <w:tcPr>
            <w:tcW w:w="1009" w:type="dxa"/>
            <w:shd w:val="clear" w:color="auto" w:fill="auto"/>
            <w:vAlign w:val="center"/>
          </w:tcPr>
          <w:p w14:paraId="003DCC6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54B5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restart"/>
            <w:shd w:val="clear" w:color="auto" w:fill="auto"/>
            <w:vAlign w:val="center"/>
          </w:tcPr>
          <w:p w14:paraId="021CD4C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18</w:t>
            </w:r>
            <w:r>
              <w:rPr>
                <w:rFonts w:hint="eastAsia" w:ascii="宋体" w:hAnsi="宋体" w:eastAsia="宋体" w:cs="宋体"/>
                <w:b w:val="0"/>
                <w:bCs w:val="0"/>
                <w:i w:val="0"/>
                <w:iCs w:val="0"/>
                <w:color w:val="000000"/>
                <w:kern w:val="0"/>
                <w:sz w:val="18"/>
                <w:szCs w:val="18"/>
                <w:u w:val="none"/>
                <w:lang w:val="en-US" w:eastAsia="zh-CN" w:bidi="ar"/>
              </w:rPr>
              <w:t xml:space="preserve"> 保持供应商（含外包方）供货不合格品处置记录。</w:t>
            </w:r>
          </w:p>
        </w:tc>
        <w:tc>
          <w:tcPr>
            <w:tcW w:w="977" w:type="dxa"/>
            <w:vMerge w:val="restart"/>
            <w:shd w:val="clear" w:color="auto" w:fill="auto"/>
            <w:vAlign w:val="center"/>
          </w:tcPr>
          <w:p w14:paraId="57A7CC4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65E7092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0F0819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2EB0F8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1、完整保持供应商（含外包方）供货不合格品处置记录含退货、换货、改进措施、8D报告等</w:t>
            </w:r>
          </w:p>
        </w:tc>
        <w:tc>
          <w:tcPr>
            <w:tcW w:w="1009" w:type="dxa"/>
            <w:shd w:val="clear" w:color="auto" w:fill="auto"/>
            <w:vAlign w:val="center"/>
          </w:tcPr>
          <w:p w14:paraId="3F884D9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1054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7CBE257D">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33C7FD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A094413">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E05E74D">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7F6501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2、完整保持供应商（含外包方）供货不合格品处置记录，记录内容不完整的</w:t>
            </w:r>
          </w:p>
        </w:tc>
        <w:tc>
          <w:tcPr>
            <w:tcW w:w="1009" w:type="dxa"/>
            <w:shd w:val="clear" w:color="auto" w:fill="auto"/>
            <w:vAlign w:val="center"/>
          </w:tcPr>
          <w:p w14:paraId="4F7C160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65E8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728" w:type="dxa"/>
            <w:vMerge w:val="continue"/>
            <w:shd w:val="clear" w:color="auto" w:fill="auto"/>
            <w:vAlign w:val="center"/>
          </w:tcPr>
          <w:p w14:paraId="385AE306">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511730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435B05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22D5E9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7B3453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3、不能完整保持供应商（含外包方）供货不合格品处置记录的</w:t>
            </w:r>
          </w:p>
        </w:tc>
        <w:tc>
          <w:tcPr>
            <w:tcW w:w="1009" w:type="dxa"/>
            <w:shd w:val="clear" w:color="auto" w:fill="auto"/>
            <w:vAlign w:val="center"/>
          </w:tcPr>
          <w:p w14:paraId="65283A9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0455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2728" w:type="dxa"/>
            <w:vMerge w:val="restart"/>
            <w:shd w:val="clear" w:color="auto" w:fill="auto"/>
            <w:vAlign w:val="center"/>
          </w:tcPr>
          <w:p w14:paraId="0EAD3D9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19</w:t>
            </w:r>
            <w:r>
              <w:rPr>
                <w:rFonts w:hint="eastAsia" w:ascii="宋体" w:hAnsi="宋体" w:eastAsia="宋体" w:cs="宋体"/>
                <w:b w:val="0"/>
                <w:bCs w:val="0"/>
                <w:i w:val="0"/>
                <w:iCs w:val="0"/>
                <w:color w:val="000000"/>
                <w:kern w:val="0"/>
                <w:sz w:val="18"/>
                <w:szCs w:val="18"/>
                <w:u w:val="none"/>
                <w:lang w:val="en-US" w:eastAsia="zh-CN" w:bidi="ar"/>
              </w:rPr>
              <w:t xml:space="preserve"> 建立生产过程管理程序，内容包括但不限于：人员、设施设备、生产物料、生产工艺、环境管理等。</w:t>
            </w:r>
          </w:p>
        </w:tc>
        <w:tc>
          <w:tcPr>
            <w:tcW w:w="977" w:type="dxa"/>
            <w:vMerge w:val="restart"/>
            <w:shd w:val="clear" w:color="auto" w:fill="auto"/>
            <w:vAlign w:val="center"/>
          </w:tcPr>
          <w:p w14:paraId="32D1B07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2CFC31E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1、生产计划（看板）</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2、生产管理要求</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3、现场环境要求</w:t>
            </w:r>
          </w:p>
        </w:tc>
        <w:tc>
          <w:tcPr>
            <w:tcW w:w="2769" w:type="dxa"/>
            <w:vMerge w:val="restart"/>
            <w:shd w:val="clear" w:color="auto" w:fill="auto"/>
            <w:vAlign w:val="center"/>
          </w:tcPr>
          <w:p w14:paraId="30D27F4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4583" w:type="dxa"/>
            <w:gridSpan w:val="2"/>
            <w:vMerge w:val="restart"/>
            <w:shd w:val="clear" w:color="auto" w:fill="auto"/>
            <w:vAlign w:val="center"/>
          </w:tcPr>
          <w:p w14:paraId="068CABB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评审组现场巡访时确认，酌情赋分（分3个档次：13.5-15分、12-13.5分、12分以下）</w:t>
            </w:r>
          </w:p>
        </w:tc>
      </w:tr>
      <w:tr w14:paraId="4E5C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728" w:type="dxa"/>
            <w:vMerge w:val="continue"/>
            <w:shd w:val="clear" w:color="auto" w:fill="auto"/>
            <w:vAlign w:val="center"/>
          </w:tcPr>
          <w:p w14:paraId="2BA19849">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D91069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52FC10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4D4CEBE">
            <w:pPr>
              <w:jc w:val="left"/>
              <w:rPr>
                <w:rFonts w:hint="eastAsia" w:ascii="宋体" w:hAnsi="宋体" w:eastAsia="宋体" w:cs="宋体"/>
                <w:b w:val="0"/>
                <w:bCs w:val="0"/>
                <w:i w:val="0"/>
                <w:iCs w:val="0"/>
                <w:color w:val="000000"/>
                <w:sz w:val="18"/>
                <w:szCs w:val="18"/>
                <w:u w:val="none"/>
              </w:rPr>
            </w:pPr>
          </w:p>
        </w:tc>
        <w:tc>
          <w:tcPr>
            <w:tcW w:w="4583" w:type="dxa"/>
            <w:gridSpan w:val="2"/>
            <w:vMerge w:val="continue"/>
            <w:shd w:val="clear" w:color="auto" w:fill="auto"/>
            <w:vAlign w:val="center"/>
          </w:tcPr>
          <w:p w14:paraId="1F347469">
            <w:pPr>
              <w:jc w:val="left"/>
              <w:rPr>
                <w:rFonts w:hint="eastAsia" w:ascii="宋体" w:hAnsi="宋体" w:eastAsia="宋体" w:cs="宋体"/>
                <w:b w:val="0"/>
                <w:bCs w:val="0"/>
                <w:i w:val="0"/>
                <w:iCs w:val="0"/>
                <w:color w:val="000000"/>
                <w:sz w:val="18"/>
                <w:szCs w:val="18"/>
                <w:u w:val="none"/>
              </w:rPr>
            </w:pPr>
          </w:p>
        </w:tc>
      </w:tr>
      <w:tr w14:paraId="4828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2728" w:type="dxa"/>
            <w:vMerge w:val="continue"/>
            <w:shd w:val="clear" w:color="auto" w:fill="auto"/>
            <w:vAlign w:val="center"/>
          </w:tcPr>
          <w:p w14:paraId="6DEA8B6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AF19B0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ADE6658">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2F4FC08">
            <w:pPr>
              <w:jc w:val="left"/>
              <w:rPr>
                <w:rFonts w:hint="eastAsia" w:ascii="宋体" w:hAnsi="宋体" w:eastAsia="宋体" w:cs="宋体"/>
                <w:b w:val="0"/>
                <w:bCs w:val="0"/>
                <w:i w:val="0"/>
                <w:iCs w:val="0"/>
                <w:color w:val="000000"/>
                <w:sz w:val="18"/>
                <w:szCs w:val="18"/>
                <w:u w:val="none"/>
              </w:rPr>
            </w:pPr>
          </w:p>
        </w:tc>
        <w:tc>
          <w:tcPr>
            <w:tcW w:w="4583" w:type="dxa"/>
            <w:gridSpan w:val="2"/>
            <w:vMerge w:val="continue"/>
            <w:shd w:val="clear" w:color="auto" w:fill="auto"/>
            <w:vAlign w:val="center"/>
          </w:tcPr>
          <w:p w14:paraId="2D3D9556">
            <w:pPr>
              <w:jc w:val="left"/>
              <w:rPr>
                <w:rFonts w:hint="eastAsia" w:ascii="宋体" w:hAnsi="宋体" w:eastAsia="宋体" w:cs="宋体"/>
                <w:b w:val="0"/>
                <w:bCs w:val="0"/>
                <w:i w:val="0"/>
                <w:iCs w:val="0"/>
                <w:color w:val="000000"/>
                <w:sz w:val="18"/>
                <w:szCs w:val="18"/>
                <w:u w:val="none"/>
              </w:rPr>
            </w:pPr>
          </w:p>
        </w:tc>
      </w:tr>
      <w:tr w14:paraId="3F0B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728" w:type="dxa"/>
            <w:vMerge w:val="restart"/>
            <w:shd w:val="clear" w:color="auto" w:fill="auto"/>
            <w:vAlign w:val="center"/>
          </w:tcPr>
          <w:p w14:paraId="376F2BC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 xml:space="preserve">20 </w:t>
            </w:r>
            <w:r>
              <w:rPr>
                <w:rFonts w:hint="eastAsia" w:ascii="宋体" w:hAnsi="宋体" w:eastAsia="宋体" w:cs="宋体"/>
                <w:b w:val="0"/>
                <w:bCs w:val="0"/>
                <w:i w:val="0"/>
                <w:iCs w:val="0"/>
                <w:color w:val="000000"/>
                <w:kern w:val="0"/>
                <w:sz w:val="18"/>
                <w:szCs w:val="18"/>
                <w:u w:val="none"/>
                <w:lang w:val="en-US" w:eastAsia="zh-CN" w:bidi="ar"/>
              </w:rPr>
              <w:t>保持生产实施人员胜任岗位的证据，包含但不限于培训记录、上岗证等。</w:t>
            </w:r>
          </w:p>
        </w:tc>
        <w:tc>
          <w:tcPr>
            <w:tcW w:w="977" w:type="dxa"/>
            <w:vMerge w:val="restart"/>
            <w:shd w:val="clear" w:color="auto" w:fill="auto"/>
            <w:vAlign w:val="center"/>
          </w:tcPr>
          <w:p w14:paraId="334C545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395846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1、培训记录，上岗证等</w:t>
            </w:r>
          </w:p>
        </w:tc>
        <w:tc>
          <w:tcPr>
            <w:tcW w:w="2769" w:type="dxa"/>
            <w:vMerge w:val="restart"/>
            <w:shd w:val="clear" w:color="auto" w:fill="auto"/>
            <w:vAlign w:val="center"/>
          </w:tcPr>
          <w:p w14:paraId="4A08AA9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4583" w:type="dxa"/>
            <w:gridSpan w:val="2"/>
            <w:vMerge w:val="restart"/>
            <w:shd w:val="clear" w:color="auto" w:fill="auto"/>
            <w:vAlign w:val="center"/>
          </w:tcPr>
          <w:p w14:paraId="4F68493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评审组现场巡访时了解一线生产人员能力水平，并结合2.1.3条款资料确认，酌情赋分（分3个档次：13.5-15分、12-13.5分、12分以下）</w:t>
            </w:r>
          </w:p>
        </w:tc>
      </w:tr>
      <w:tr w14:paraId="1D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728" w:type="dxa"/>
            <w:vMerge w:val="continue"/>
            <w:shd w:val="clear" w:color="auto" w:fill="auto"/>
            <w:vAlign w:val="center"/>
          </w:tcPr>
          <w:p w14:paraId="4312281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032C58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BF9E163">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6BC6ED4">
            <w:pPr>
              <w:jc w:val="left"/>
              <w:rPr>
                <w:rFonts w:hint="eastAsia" w:ascii="宋体" w:hAnsi="宋体" w:eastAsia="宋体" w:cs="宋体"/>
                <w:b w:val="0"/>
                <w:bCs w:val="0"/>
                <w:i w:val="0"/>
                <w:iCs w:val="0"/>
                <w:color w:val="000000"/>
                <w:sz w:val="18"/>
                <w:szCs w:val="18"/>
                <w:u w:val="none"/>
              </w:rPr>
            </w:pPr>
          </w:p>
        </w:tc>
        <w:tc>
          <w:tcPr>
            <w:tcW w:w="4583" w:type="dxa"/>
            <w:gridSpan w:val="2"/>
            <w:vMerge w:val="continue"/>
            <w:shd w:val="clear" w:color="auto" w:fill="auto"/>
            <w:vAlign w:val="center"/>
          </w:tcPr>
          <w:p w14:paraId="3238783F">
            <w:pPr>
              <w:jc w:val="left"/>
              <w:rPr>
                <w:rFonts w:hint="eastAsia" w:ascii="宋体" w:hAnsi="宋体" w:eastAsia="宋体" w:cs="宋体"/>
                <w:b w:val="0"/>
                <w:bCs w:val="0"/>
                <w:i w:val="0"/>
                <w:iCs w:val="0"/>
                <w:color w:val="000000"/>
                <w:sz w:val="18"/>
                <w:szCs w:val="18"/>
                <w:u w:val="none"/>
              </w:rPr>
            </w:pPr>
          </w:p>
        </w:tc>
      </w:tr>
      <w:tr w14:paraId="0DC6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728" w:type="dxa"/>
            <w:vMerge w:val="continue"/>
            <w:shd w:val="clear" w:color="auto" w:fill="auto"/>
            <w:vAlign w:val="center"/>
          </w:tcPr>
          <w:p w14:paraId="74254D7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317EC1F">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58E44C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D88E155">
            <w:pPr>
              <w:jc w:val="left"/>
              <w:rPr>
                <w:rFonts w:hint="eastAsia" w:ascii="宋体" w:hAnsi="宋体" w:eastAsia="宋体" w:cs="宋体"/>
                <w:b w:val="0"/>
                <w:bCs w:val="0"/>
                <w:i w:val="0"/>
                <w:iCs w:val="0"/>
                <w:color w:val="000000"/>
                <w:sz w:val="18"/>
                <w:szCs w:val="18"/>
                <w:u w:val="none"/>
              </w:rPr>
            </w:pPr>
          </w:p>
        </w:tc>
        <w:tc>
          <w:tcPr>
            <w:tcW w:w="4583" w:type="dxa"/>
            <w:gridSpan w:val="2"/>
            <w:vMerge w:val="continue"/>
            <w:shd w:val="clear" w:color="auto" w:fill="auto"/>
            <w:vAlign w:val="center"/>
          </w:tcPr>
          <w:p w14:paraId="6CB918BC">
            <w:pPr>
              <w:jc w:val="left"/>
              <w:rPr>
                <w:rFonts w:hint="eastAsia" w:ascii="宋体" w:hAnsi="宋体" w:eastAsia="宋体" w:cs="宋体"/>
                <w:b w:val="0"/>
                <w:bCs w:val="0"/>
                <w:i w:val="0"/>
                <w:iCs w:val="0"/>
                <w:color w:val="000000"/>
                <w:sz w:val="18"/>
                <w:szCs w:val="18"/>
                <w:u w:val="none"/>
              </w:rPr>
            </w:pPr>
          </w:p>
        </w:tc>
      </w:tr>
      <w:tr w14:paraId="798C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728" w:type="dxa"/>
            <w:vMerge w:val="continue"/>
            <w:shd w:val="clear" w:color="auto" w:fill="auto"/>
            <w:vAlign w:val="center"/>
          </w:tcPr>
          <w:p w14:paraId="01BA3E8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A57A77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6E56E8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E43DA28">
            <w:pPr>
              <w:jc w:val="left"/>
              <w:rPr>
                <w:rFonts w:hint="eastAsia" w:ascii="宋体" w:hAnsi="宋体" w:eastAsia="宋体" w:cs="宋体"/>
                <w:b w:val="0"/>
                <w:bCs w:val="0"/>
                <w:i w:val="0"/>
                <w:iCs w:val="0"/>
                <w:color w:val="000000"/>
                <w:sz w:val="18"/>
                <w:szCs w:val="18"/>
                <w:u w:val="none"/>
              </w:rPr>
            </w:pPr>
          </w:p>
        </w:tc>
        <w:tc>
          <w:tcPr>
            <w:tcW w:w="4583" w:type="dxa"/>
            <w:gridSpan w:val="2"/>
            <w:vMerge w:val="continue"/>
            <w:shd w:val="clear" w:color="auto" w:fill="auto"/>
            <w:vAlign w:val="center"/>
          </w:tcPr>
          <w:p w14:paraId="68C33F06">
            <w:pPr>
              <w:jc w:val="left"/>
              <w:rPr>
                <w:rFonts w:hint="eastAsia" w:ascii="宋体" w:hAnsi="宋体" w:eastAsia="宋体" w:cs="宋体"/>
                <w:b w:val="0"/>
                <w:bCs w:val="0"/>
                <w:i w:val="0"/>
                <w:iCs w:val="0"/>
                <w:color w:val="000000"/>
                <w:sz w:val="18"/>
                <w:szCs w:val="18"/>
                <w:u w:val="none"/>
              </w:rPr>
            </w:pPr>
          </w:p>
        </w:tc>
      </w:tr>
      <w:tr w14:paraId="6674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restart"/>
            <w:shd w:val="clear" w:color="auto" w:fill="auto"/>
            <w:vAlign w:val="center"/>
          </w:tcPr>
          <w:p w14:paraId="1F10DFC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21</w:t>
            </w:r>
            <w:r>
              <w:rPr>
                <w:rFonts w:hint="eastAsia" w:ascii="宋体" w:hAnsi="宋体" w:eastAsia="宋体" w:cs="宋体"/>
                <w:b w:val="0"/>
                <w:bCs w:val="0"/>
                <w:i w:val="0"/>
                <w:iCs w:val="0"/>
                <w:color w:val="000000"/>
                <w:kern w:val="0"/>
                <w:sz w:val="18"/>
                <w:szCs w:val="18"/>
                <w:u w:val="none"/>
                <w:lang w:val="en-US" w:eastAsia="zh-CN" w:bidi="ar"/>
              </w:rPr>
              <w:t xml:space="preserve"> 生产现场保持有效版本的技术文件，包括但不限于：作业指导书、工艺流程图等。</w:t>
            </w:r>
          </w:p>
        </w:tc>
        <w:tc>
          <w:tcPr>
            <w:tcW w:w="977" w:type="dxa"/>
            <w:vMerge w:val="restart"/>
            <w:shd w:val="clear" w:color="auto" w:fill="auto"/>
            <w:vAlign w:val="center"/>
          </w:tcPr>
          <w:p w14:paraId="6ACDCED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173837F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1、现场作业指导、工艺流程图等记录（申报品类产品）</w:t>
            </w:r>
          </w:p>
        </w:tc>
        <w:tc>
          <w:tcPr>
            <w:tcW w:w="2769" w:type="dxa"/>
            <w:vMerge w:val="restart"/>
            <w:shd w:val="clear" w:color="auto" w:fill="auto"/>
            <w:vAlign w:val="center"/>
          </w:tcPr>
          <w:p w14:paraId="148362E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12AD070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1、现场提供有效版本的作业指导书等工艺文件，属于受控的</w:t>
            </w:r>
          </w:p>
        </w:tc>
        <w:tc>
          <w:tcPr>
            <w:tcW w:w="1009" w:type="dxa"/>
            <w:shd w:val="clear" w:color="auto" w:fill="auto"/>
            <w:vAlign w:val="center"/>
          </w:tcPr>
          <w:p w14:paraId="27DE0E4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28FC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2AE0345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B3C8F8F">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E27282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F560F2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E1E130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2、现场提供作业指导书等工艺文件不是有效版本的，属于受控的</w:t>
            </w:r>
          </w:p>
        </w:tc>
        <w:tc>
          <w:tcPr>
            <w:tcW w:w="1009" w:type="dxa"/>
            <w:shd w:val="clear" w:color="auto" w:fill="auto"/>
            <w:vAlign w:val="center"/>
          </w:tcPr>
          <w:p w14:paraId="43F1064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046E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2B6B1B4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7B4662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0B23005">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4D1D43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E2712D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3、现场提供作业指导书等工艺文件不是有效版本的，属不受控的</w:t>
            </w:r>
          </w:p>
        </w:tc>
        <w:tc>
          <w:tcPr>
            <w:tcW w:w="1009" w:type="dxa"/>
            <w:shd w:val="clear" w:color="auto" w:fill="auto"/>
            <w:vAlign w:val="center"/>
          </w:tcPr>
          <w:p w14:paraId="26AFC96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A0DE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restart"/>
            <w:shd w:val="clear" w:color="auto" w:fill="auto"/>
            <w:vAlign w:val="center"/>
          </w:tcPr>
          <w:p w14:paraId="4890AD5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22</w:t>
            </w:r>
            <w:r>
              <w:rPr>
                <w:rFonts w:hint="eastAsia" w:ascii="宋体" w:hAnsi="宋体" w:eastAsia="宋体" w:cs="宋体"/>
                <w:b w:val="0"/>
                <w:bCs w:val="0"/>
                <w:i w:val="0"/>
                <w:iCs w:val="0"/>
                <w:color w:val="000000"/>
                <w:kern w:val="0"/>
                <w:sz w:val="18"/>
                <w:szCs w:val="18"/>
                <w:u w:val="none"/>
                <w:lang w:val="en-US" w:eastAsia="zh-CN" w:bidi="ar"/>
              </w:rPr>
              <w:t xml:space="preserve"> 对生产现场的物料、半成品、成品等实施有效防护，包括：标识、堆放、搬运等。</w:t>
            </w:r>
          </w:p>
        </w:tc>
        <w:tc>
          <w:tcPr>
            <w:tcW w:w="977" w:type="dxa"/>
            <w:vMerge w:val="restart"/>
            <w:shd w:val="clear" w:color="auto" w:fill="auto"/>
            <w:vAlign w:val="center"/>
          </w:tcPr>
          <w:p w14:paraId="763DDF1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0FEECBC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在巡视现场时，进行确认</w:t>
            </w:r>
          </w:p>
        </w:tc>
        <w:tc>
          <w:tcPr>
            <w:tcW w:w="2769" w:type="dxa"/>
            <w:vMerge w:val="restart"/>
            <w:shd w:val="clear" w:color="auto" w:fill="auto"/>
            <w:vAlign w:val="center"/>
          </w:tcPr>
          <w:p w14:paraId="67EA137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23B55C5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1、货品有标识和堆放合理，且直观整齐的</w:t>
            </w:r>
          </w:p>
        </w:tc>
        <w:tc>
          <w:tcPr>
            <w:tcW w:w="1009" w:type="dxa"/>
            <w:shd w:val="clear" w:color="auto" w:fill="auto"/>
            <w:vAlign w:val="center"/>
          </w:tcPr>
          <w:p w14:paraId="27C2744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133E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363D2344">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CC59E7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BD0338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A83021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F1E64A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2、货品有标识和堆放合理，但直观不整齐的</w:t>
            </w:r>
          </w:p>
        </w:tc>
        <w:tc>
          <w:tcPr>
            <w:tcW w:w="1009" w:type="dxa"/>
            <w:shd w:val="clear" w:color="auto" w:fill="auto"/>
            <w:vAlign w:val="center"/>
          </w:tcPr>
          <w:p w14:paraId="147CA0F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43B8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60C0ACDC">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579E266">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2ACA24C">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D094E4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91E72D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3、货品的标识缺失，堆放不合理，直观较为杂乱的</w:t>
            </w:r>
          </w:p>
        </w:tc>
        <w:tc>
          <w:tcPr>
            <w:tcW w:w="1009" w:type="dxa"/>
            <w:shd w:val="clear" w:color="auto" w:fill="auto"/>
            <w:vAlign w:val="center"/>
          </w:tcPr>
          <w:p w14:paraId="49A58C6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2FE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28" w:type="dxa"/>
            <w:vMerge w:val="restart"/>
            <w:shd w:val="clear" w:color="auto" w:fill="auto"/>
            <w:vAlign w:val="center"/>
          </w:tcPr>
          <w:p w14:paraId="199F472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23</w:t>
            </w:r>
            <w:r>
              <w:rPr>
                <w:rFonts w:hint="eastAsia" w:ascii="宋体" w:hAnsi="宋体" w:eastAsia="宋体" w:cs="宋体"/>
                <w:b w:val="0"/>
                <w:bCs w:val="0"/>
                <w:i w:val="0"/>
                <w:iCs w:val="0"/>
                <w:color w:val="000000"/>
                <w:kern w:val="0"/>
                <w:sz w:val="18"/>
                <w:szCs w:val="18"/>
                <w:u w:val="none"/>
                <w:lang w:val="en-US" w:eastAsia="zh-CN" w:bidi="ar"/>
              </w:rPr>
              <w:t xml:space="preserve"> 有可追溯性要求的产品，保持可追溯记录。</w:t>
            </w:r>
          </w:p>
        </w:tc>
        <w:tc>
          <w:tcPr>
            <w:tcW w:w="977" w:type="dxa"/>
            <w:vMerge w:val="restart"/>
            <w:shd w:val="clear" w:color="auto" w:fill="auto"/>
            <w:vAlign w:val="center"/>
          </w:tcPr>
          <w:p w14:paraId="680EA3A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34AEEFA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1、出厂产品的批号管理记录</w:t>
            </w:r>
          </w:p>
        </w:tc>
        <w:tc>
          <w:tcPr>
            <w:tcW w:w="2769" w:type="dxa"/>
            <w:vMerge w:val="restart"/>
            <w:shd w:val="clear" w:color="auto" w:fill="auto"/>
            <w:vAlign w:val="center"/>
          </w:tcPr>
          <w:p w14:paraId="23ABB44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51240E0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1、有可追溯性要求的产品，保持可追溯记录真实可信的，</w:t>
            </w:r>
          </w:p>
        </w:tc>
        <w:tc>
          <w:tcPr>
            <w:tcW w:w="1009" w:type="dxa"/>
            <w:shd w:val="clear" w:color="auto" w:fill="auto"/>
            <w:vAlign w:val="center"/>
          </w:tcPr>
          <w:p w14:paraId="02D5B7E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768E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7552E64B">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498EF4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296B5B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AD96237">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27C267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2、有可追溯性要求的产品，保持可追溯记录，记录不完整，不能完全追溯的</w:t>
            </w:r>
          </w:p>
        </w:tc>
        <w:tc>
          <w:tcPr>
            <w:tcW w:w="1009" w:type="dxa"/>
            <w:shd w:val="clear" w:color="auto" w:fill="auto"/>
            <w:vAlign w:val="center"/>
          </w:tcPr>
          <w:p w14:paraId="6C25AC2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E17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56B5830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C833D1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1044EE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3C698C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46D2CB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3、有可追溯性要求的产品，虽保持可追溯记录，记录不可信的</w:t>
            </w:r>
          </w:p>
        </w:tc>
        <w:tc>
          <w:tcPr>
            <w:tcW w:w="1009" w:type="dxa"/>
            <w:shd w:val="clear" w:color="auto" w:fill="auto"/>
            <w:vAlign w:val="center"/>
          </w:tcPr>
          <w:p w14:paraId="1801449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5554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728" w:type="dxa"/>
            <w:vMerge w:val="restart"/>
            <w:shd w:val="clear" w:color="auto" w:fill="auto"/>
            <w:vAlign w:val="center"/>
          </w:tcPr>
          <w:p w14:paraId="4D3E957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24</w:t>
            </w:r>
            <w:r>
              <w:rPr>
                <w:rFonts w:hint="eastAsia" w:ascii="宋体" w:hAnsi="宋体" w:eastAsia="宋体" w:cs="宋体"/>
                <w:b w:val="0"/>
                <w:bCs w:val="0"/>
                <w:i w:val="0"/>
                <w:iCs w:val="0"/>
                <w:color w:val="000000"/>
                <w:kern w:val="0"/>
                <w:sz w:val="18"/>
                <w:szCs w:val="18"/>
                <w:u w:val="none"/>
                <w:lang w:val="en-US" w:eastAsia="zh-CN" w:bidi="ar"/>
              </w:rPr>
              <w:t xml:space="preserve"> 对生产现场的不合格品实施管理，防止误用，包括但不限于标识、隔离、处置等措施，保持处置记录。</w:t>
            </w:r>
          </w:p>
        </w:tc>
        <w:tc>
          <w:tcPr>
            <w:tcW w:w="977" w:type="dxa"/>
            <w:vMerge w:val="restart"/>
            <w:shd w:val="clear" w:color="auto" w:fill="auto"/>
            <w:vAlign w:val="center"/>
          </w:tcPr>
          <w:p w14:paraId="2A4AA04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117E302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1、不合格品的记录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2、处置结果</w:t>
            </w:r>
          </w:p>
        </w:tc>
        <w:tc>
          <w:tcPr>
            <w:tcW w:w="2769" w:type="dxa"/>
            <w:vMerge w:val="restart"/>
            <w:shd w:val="clear" w:color="auto" w:fill="auto"/>
            <w:vAlign w:val="center"/>
          </w:tcPr>
          <w:p w14:paraId="1742CCC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6B91BAF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1、对生产现场的不合格品实施管理，包括标识、隔离、处置等措施，保持处置记录形成完整形成管理链条的</w:t>
            </w:r>
          </w:p>
        </w:tc>
        <w:tc>
          <w:tcPr>
            <w:tcW w:w="1009" w:type="dxa"/>
            <w:shd w:val="clear" w:color="auto" w:fill="auto"/>
            <w:vAlign w:val="center"/>
          </w:tcPr>
          <w:p w14:paraId="7947535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7608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6EF2D5E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2929D3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908798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3B18E97">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B759AD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2、对生产现场的不合格品实施管理，包括标识、隔离、处置等措施，保持处置记录不能完整形成管理链条的</w:t>
            </w:r>
          </w:p>
        </w:tc>
        <w:tc>
          <w:tcPr>
            <w:tcW w:w="1009" w:type="dxa"/>
            <w:shd w:val="clear" w:color="auto" w:fill="auto"/>
            <w:vAlign w:val="center"/>
          </w:tcPr>
          <w:p w14:paraId="3D22339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2F3D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728" w:type="dxa"/>
            <w:vMerge w:val="continue"/>
            <w:shd w:val="clear" w:color="auto" w:fill="auto"/>
            <w:vAlign w:val="center"/>
          </w:tcPr>
          <w:p w14:paraId="2320BD8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48D9DF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1608EAC">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E8D353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8B4EC0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3、对生产现场的不合格品实施管理，包括标识、隔离、处置等措施，但没有处置措施的</w:t>
            </w:r>
          </w:p>
        </w:tc>
        <w:tc>
          <w:tcPr>
            <w:tcW w:w="1009" w:type="dxa"/>
            <w:shd w:val="clear" w:color="auto" w:fill="auto"/>
            <w:vAlign w:val="center"/>
          </w:tcPr>
          <w:p w14:paraId="33D3C93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47B3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restart"/>
            <w:shd w:val="clear" w:color="auto" w:fill="auto"/>
            <w:vAlign w:val="center"/>
          </w:tcPr>
          <w:p w14:paraId="5F9ED2F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25</w:t>
            </w:r>
            <w:r>
              <w:rPr>
                <w:rFonts w:hint="eastAsia" w:ascii="宋体" w:hAnsi="宋体" w:eastAsia="宋体" w:cs="宋体"/>
                <w:b w:val="0"/>
                <w:bCs w:val="0"/>
                <w:i w:val="0"/>
                <w:iCs w:val="0"/>
                <w:color w:val="000000"/>
                <w:kern w:val="0"/>
                <w:sz w:val="18"/>
                <w:szCs w:val="18"/>
                <w:u w:val="none"/>
                <w:lang w:val="en-US" w:eastAsia="zh-CN" w:bidi="ar"/>
              </w:rPr>
              <w:t xml:space="preserve"> 对生产现场工作环境实施管理，保持与产品特性有关的环境要求记录。（工作环境有特定要求的，如有微生物限量要求，洁净环境、温湿度要求等，保持定期监测记录）。</w:t>
            </w:r>
          </w:p>
        </w:tc>
        <w:tc>
          <w:tcPr>
            <w:tcW w:w="977" w:type="dxa"/>
            <w:vMerge w:val="restart"/>
            <w:shd w:val="clear" w:color="auto" w:fill="auto"/>
            <w:vAlign w:val="center"/>
          </w:tcPr>
          <w:p w14:paraId="564D482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48F49F4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1、“5S”活动</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2、现场的物品摆放、防护</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3、现场工作环境</w:t>
            </w:r>
          </w:p>
        </w:tc>
        <w:tc>
          <w:tcPr>
            <w:tcW w:w="2769" w:type="dxa"/>
            <w:vMerge w:val="restart"/>
            <w:shd w:val="clear" w:color="auto" w:fill="auto"/>
            <w:vAlign w:val="center"/>
          </w:tcPr>
          <w:p w14:paraId="04AADAE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15B952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1、完整保持与产品特性有关的环境要求记录，并判断位合理的</w:t>
            </w:r>
          </w:p>
        </w:tc>
        <w:tc>
          <w:tcPr>
            <w:tcW w:w="1009" w:type="dxa"/>
            <w:shd w:val="clear" w:color="auto" w:fill="auto"/>
            <w:vAlign w:val="center"/>
          </w:tcPr>
          <w:p w14:paraId="5E8A387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6820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3F587E77">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7761BA6">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4A93BE5">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534953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AFE2E0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2、保持部分与产品特性有关的环境要求记录，并判断位合理的</w:t>
            </w:r>
          </w:p>
        </w:tc>
        <w:tc>
          <w:tcPr>
            <w:tcW w:w="1009" w:type="dxa"/>
            <w:shd w:val="clear" w:color="auto" w:fill="auto"/>
            <w:vAlign w:val="center"/>
          </w:tcPr>
          <w:p w14:paraId="36FC8D3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7695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728" w:type="dxa"/>
            <w:vMerge w:val="continue"/>
            <w:shd w:val="clear" w:color="auto" w:fill="auto"/>
            <w:vAlign w:val="center"/>
          </w:tcPr>
          <w:p w14:paraId="3472FEE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E1D8C7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01B9F6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6908B2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980346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3、保持部分与产品特性有关的环境要求记录，但判断为不合理的</w:t>
            </w:r>
          </w:p>
        </w:tc>
        <w:tc>
          <w:tcPr>
            <w:tcW w:w="1009" w:type="dxa"/>
            <w:shd w:val="clear" w:color="auto" w:fill="auto"/>
            <w:vAlign w:val="center"/>
          </w:tcPr>
          <w:p w14:paraId="7400301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A93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4C2B19B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26</w:t>
            </w:r>
            <w:r>
              <w:rPr>
                <w:rFonts w:hint="eastAsia" w:ascii="宋体" w:hAnsi="宋体" w:eastAsia="宋体" w:cs="宋体"/>
                <w:b w:val="0"/>
                <w:bCs w:val="0"/>
                <w:i w:val="0"/>
                <w:iCs w:val="0"/>
                <w:color w:val="000000"/>
                <w:kern w:val="0"/>
                <w:sz w:val="18"/>
                <w:szCs w:val="18"/>
                <w:u w:val="none"/>
                <w:lang w:val="en-US" w:eastAsia="zh-CN" w:bidi="ar"/>
              </w:rPr>
              <w:t xml:space="preserve"> 有仓库平面布局图和防火逃生图，配备消防设施设备，保持定期检查记录。</w:t>
            </w:r>
          </w:p>
        </w:tc>
        <w:tc>
          <w:tcPr>
            <w:tcW w:w="977" w:type="dxa"/>
            <w:vMerge w:val="restart"/>
            <w:shd w:val="clear" w:color="auto" w:fill="auto"/>
            <w:vAlign w:val="center"/>
          </w:tcPr>
          <w:p w14:paraId="00A9D3B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0605E8F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1、仓库平面图</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2、防火逃生图</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3、消防器材的点检及实际状况</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4、仓库货物堆放、标识</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5、仓库台账管理</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6、化学品仓的防泄漏措施</w:t>
            </w:r>
          </w:p>
        </w:tc>
        <w:tc>
          <w:tcPr>
            <w:tcW w:w="2769" w:type="dxa"/>
            <w:vMerge w:val="restart"/>
            <w:shd w:val="clear" w:color="auto" w:fill="auto"/>
            <w:vAlign w:val="center"/>
          </w:tcPr>
          <w:p w14:paraId="5DD7511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（该项对应的指标建议在仓库实地巡访时简单看下资料，可以基本都给80%以上分数，各企业分差不用太大）</w:t>
            </w:r>
          </w:p>
        </w:tc>
        <w:tc>
          <w:tcPr>
            <w:tcW w:w="3574" w:type="dxa"/>
            <w:shd w:val="clear" w:color="auto" w:fill="auto"/>
            <w:vAlign w:val="center"/>
          </w:tcPr>
          <w:p w14:paraId="7D92CEC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1、有仓库平面布局图和防火逃生图，对配备消防设施设备实施了定期检查，并保持定期检查记录</w:t>
            </w:r>
          </w:p>
        </w:tc>
        <w:tc>
          <w:tcPr>
            <w:tcW w:w="1009" w:type="dxa"/>
            <w:shd w:val="clear" w:color="auto" w:fill="auto"/>
            <w:vAlign w:val="center"/>
          </w:tcPr>
          <w:p w14:paraId="0105D68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4.5-5分</w:t>
            </w:r>
          </w:p>
        </w:tc>
      </w:tr>
      <w:tr w14:paraId="0A5C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2E820C2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19CE2C9">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91ACCB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5D4644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68C456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2、有仓库平面布局图和防火逃生图，对配备消防设施设备实施了定期检查，但记录不完整</w:t>
            </w:r>
          </w:p>
        </w:tc>
        <w:tc>
          <w:tcPr>
            <w:tcW w:w="1009" w:type="dxa"/>
            <w:shd w:val="clear" w:color="auto" w:fill="auto"/>
            <w:vAlign w:val="center"/>
          </w:tcPr>
          <w:p w14:paraId="592D841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4--4.5分</w:t>
            </w:r>
          </w:p>
        </w:tc>
      </w:tr>
      <w:tr w14:paraId="6066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3D1EAA5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C5B375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CF7B6D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AC478AD">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5575CE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3、没有平面图和逃生图，也没有配置消防设施的</w:t>
            </w:r>
          </w:p>
        </w:tc>
        <w:tc>
          <w:tcPr>
            <w:tcW w:w="1009" w:type="dxa"/>
            <w:shd w:val="clear" w:color="auto" w:fill="auto"/>
            <w:vAlign w:val="center"/>
          </w:tcPr>
          <w:p w14:paraId="717FF85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4分以下</w:t>
            </w:r>
          </w:p>
        </w:tc>
      </w:tr>
      <w:tr w14:paraId="326D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6C95EBA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27</w:t>
            </w:r>
            <w:r>
              <w:rPr>
                <w:rFonts w:hint="eastAsia" w:ascii="宋体" w:hAnsi="宋体" w:eastAsia="宋体" w:cs="宋体"/>
                <w:b w:val="0"/>
                <w:bCs w:val="0"/>
                <w:i w:val="0"/>
                <w:iCs w:val="0"/>
                <w:color w:val="000000"/>
                <w:kern w:val="0"/>
                <w:sz w:val="18"/>
                <w:szCs w:val="18"/>
                <w:u w:val="none"/>
                <w:lang w:val="en-US" w:eastAsia="zh-CN" w:bidi="ar"/>
              </w:rPr>
              <w:t xml:space="preserve"> 保持仓库储存环境监测的记录（如温度和湿度）。</w:t>
            </w:r>
          </w:p>
        </w:tc>
        <w:tc>
          <w:tcPr>
            <w:tcW w:w="977" w:type="dxa"/>
            <w:vMerge w:val="restart"/>
            <w:shd w:val="clear" w:color="auto" w:fill="auto"/>
            <w:vAlign w:val="center"/>
          </w:tcPr>
          <w:p w14:paraId="7D445DC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continue"/>
            <w:shd w:val="clear" w:color="auto" w:fill="auto"/>
            <w:vAlign w:val="center"/>
          </w:tcPr>
          <w:p w14:paraId="6B58102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1FB07B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1B4B06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1、温湿度检测点设置合理，并保留温湿度检查记录的</w:t>
            </w:r>
          </w:p>
        </w:tc>
        <w:tc>
          <w:tcPr>
            <w:tcW w:w="1009" w:type="dxa"/>
            <w:shd w:val="clear" w:color="auto" w:fill="auto"/>
            <w:vAlign w:val="center"/>
          </w:tcPr>
          <w:p w14:paraId="23AE2B4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4.5-5分</w:t>
            </w:r>
          </w:p>
        </w:tc>
      </w:tr>
      <w:tr w14:paraId="7768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14C57C3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0F2ACD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1AE621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698429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007884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2、温湿度检测点设置合理，温湿度检查记录不完整的</w:t>
            </w:r>
          </w:p>
        </w:tc>
        <w:tc>
          <w:tcPr>
            <w:tcW w:w="1009" w:type="dxa"/>
            <w:shd w:val="clear" w:color="auto" w:fill="auto"/>
            <w:vAlign w:val="center"/>
          </w:tcPr>
          <w:p w14:paraId="7FB2435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4--4.5分</w:t>
            </w:r>
          </w:p>
        </w:tc>
      </w:tr>
      <w:tr w14:paraId="4473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57F1FAB4">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CC3BE2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08DC5F8">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396DDC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6C58C0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3、没有配置实施温湿度设施的</w:t>
            </w:r>
          </w:p>
        </w:tc>
        <w:tc>
          <w:tcPr>
            <w:tcW w:w="1009" w:type="dxa"/>
            <w:shd w:val="clear" w:color="auto" w:fill="auto"/>
            <w:vAlign w:val="center"/>
          </w:tcPr>
          <w:p w14:paraId="4327EE3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4分以下</w:t>
            </w:r>
          </w:p>
        </w:tc>
      </w:tr>
      <w:tr w14:paraId="3647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6F30AB7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28</w:t>
            </w:r>
            <w:r>
              <w:rPr>
                <w:rFonts w:hint="eastAsia" w:ascii="宋体" w:hAnsi="宋体" w:eastAsia="宋体" w:cs="宋体"/>
                <w:b w:val="0"/>
                <w:bCs w:val="0"/>
                <w:i w:val="0"/>
                <w:iCs w:val="0"/>
                <w:color w:val="000000"/>
                <w:kern w:val="0"/>
                <w:sz w:val="18"/>
                <w:szCs w:val="18"/>
                <w:u w:val="none"/>
                <w:lang w:val="en-US" w:eastAsia="zh-CN" w:bidi="ar"/>
              </w:rPr>
              <w:t xml:space="preserve"> 保持定期盘点的记录。</w:t>
            </w:r>
          </w:p>
        </w:tc>
        <w:tc>
          <w:tcPr>
            <w:tcW w:w="977" w:type="dxa"/>
            <w:vMerge w:val="restart"/>
            <w:shd w:val="clear" w:color="auto" w:fill="auto"/>
            <w:vAlign w:val="center"/>
          </w:tcPr>
          <w:p w14:paraId="3C4E0FC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601" w:type="dxa"/>
            <w:vMerge w:val="continue"/>
            <w:shd w:val="clear" w:color="auto" w:fill="auto"/>
            <w:vAlign w:val="center"/>
          </w:tcPr>
          <w:p w14:paraId="47F7A30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93776E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5D50A0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1、实施了盘点，记录完整</w:t>
            </w:r>
          </w:p>
        </w:tc>
        <w:tc>
          <w:tcPr>
            <w:tcW w:w="1009" w:type="dxa"/>
            <w:shd w:val="clear" w:color="auto" w:fill="auto"/>
            <w:vAlign w:val="center"/>
          </w:tcPr>
          <w:p w14:paraId="443AEF2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9-10分</w:t>
            </w:r>
          </w:p>
        </w:tc>
      </w:tr>
      <w:tr w14:paraId="0B79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1BF9E5E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8EFCD3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79482B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A9A709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2E2628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2、实施了盘点，记录不完整</w:t>
            </w:r>
          </w:p>
        </w:tc>
        <w:tc>
          <w:tcPr>
            <w:tcW w:w="1009" w:type="dxa"/>
            <w:shd w:val="clear" w:color="auto" w:fill="auto"/>
            <w:vAlign w:val="center"/>
          </w:tcPr>
          <w:p w14:paraId="25257A0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8-9分</w:t>
            </w:r>
          </w:p>
        </w:tc>
      </w:tr>
      <w:tr w14:paraId="7AD1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2E27263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1BA4F1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C0CE27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DCD9F0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51EC73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3、没有实施盘点</w:t>
            </w:r>
          </w:p>
        </w:tc>
        <w:tc>
          <w:tcPr>
            <w:tcW w:w="1009" w:type="dxa"/>
            <w:shd w:val="clear" w:color="auto" w:fill="auto"/>
            <w:vAlign w:val="center"/>
          </w:tcPr>
          <w:p w14:paraId="7ED1258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8分以下</w:t>
            </w:r>
          </w:p>
        </w:tc>
      </w:tr>
      <w:tr w14:paraId="534A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74FC0A5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29</w:t>
            </w:r>
            <w:r>
              <w:rPr>
                <w:rFonts w:hint="eastAsia" w:ascii="宋体" w:hAnsi="宋体" w:eastAsia="宋体" w:cs="宋体"/>
                <w:b w:val="0"/>
                <w:bCs w:val="0"/>
                <w:i w:val="0"/>
                <w:iCs w:val="0"/>
                <w:color w:val="000000"/>
                <w:kern w:val="0"/>
                <w:sz w:val="18"/>
                <w:szCs w:val="18"/>
                <w:u w:val="none"/>
                <w:lang w:val="en-US" w:eastAsia="zh-CN" w:bidi="ar"/>
              </w:rPr>
              <w:t xml:space="preserve"> 保持出入库台账，实施先进先出管理。</w:t>
            </w:r>
          </w:p>
        </w:tc>
        <w:tc>
          <w:tcPr>
            <w:tcW w:w="977" w:type="dxa"/>
            <w:vMerge w:val="restart"/>
            <w:shd w:val="clear" w:color="auto" w:fill="auto"/>
            <w:vAlign w:val="center"/>
          </w:tcPr>
          <w:p w14:paraId="1DBBC45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601" w:type="dxa"/>
            <w:vMerge w:val="continue"/>
            <w:shd w:val="clear" w:color="auto" w:fill="auto"/>
            <w:vAlign w:val="center"/>
          </w:tcPr>
          <w:p w14:paraId="0997B32C">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0D77D3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5FAF8E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1、保持出入库台账，完全实施先进先出管理</w:t>
            </w:r>
          </w:p>
        </w:tc>
        <w:tc>
          <w:tcPr>
            <w:tcW w:w="1009" w:type="dxa"/>
            <w:shd w:val="clear" w:color="auto" w:fill="auto"/>
            <w:vAlign w:val="center"/>
          </w:tcPr>
          <w:p w14:paraId="7B329DB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9-10分</w:t>
            </w:r>
          </w:p>
        </w:tc>
      </w:tr>
      <w:tr w14:paraId="40C4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0FE7879F">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9F2C349">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F522C98">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A28F66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877B68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2、保持出入库台账，部分实施先进先出管理的</w:t>
            </w:r>
          </w:p>
        </w:tc>
        <w:tc>
          <w:tcPr>
            <w:tcW w:w="1009" w:type="dxa"/>
            <w:shd w:val="clear" w:color="auto" w:fill="auto"/>
            <w:vAlign w:val="center"/>
          </w:tcPr>
          <w:p w14:paraId="0D0CAC2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8-9分</w:t>
            </w:r>
          </w:p>
        </w:tc>
      </w:tr>
      <w:tr w14:paraId="1FC9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20EEA5E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EFE654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B5583E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B5ABF4F">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543792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3、出入库台账不完整，没有实施先进先出管理的</w:t>
            </w:r>
          </w:p>
        </w:tc>
        <w:tc>
          <w:tcPr>
            <w:tcW w:w="1009" w:type="dxa"/>
            <w:shd w:val="clear" w:color="auto" w:fill="auto"/>
            <w:vAlign w:val="center"/>
          </w:tcPr>
          <w:p w14:paraId="2E00F1B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8分以下</w:t>
            </w:r>
          </w:p>
        </w:tc>
      </w:tr>
      <w:tr w14:paraId="4D5E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5D45A5C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30</w:t>
            </w:r>
            <w:r>
              <w:rPr>
                <w:rFonts w:hint="eastAsia" w:ascii="宋体" w:hAnsi="宋体" w:eastAsia="宋体" w:cs="宋体"/>
                <w:b w:val="0"/>
                <w:bCs w:val="0"/>
                <w:i w:val="0"/>
                <w:iCs w:val="0"/>
                <w:color w:val="000000"/>
                <w:kern w:val="0"/>
                <w:sz w:val="18"/>
                <w:szCs w:val="18"/>
                <w:u w:val="none"/>
                <w:lang w:val="en-US" w:eastAsia="zh-CN" w:bidi="ar"/>
              </w:rPr>
              <w:t xml:space="preserve"> 仓存品有适当的标识，如追溯性标识等。</w:t>
            </w:r>
          </w:p>
        </w:tc>
        <w:tc>
          <w:tcPr>
            <w:tcW w:w="977" w:type="dxa"/>
            <w:vMerge w:val="restart"/>
            <w:shd w:val="clear" w:color="auto" w:fill="auto"/>
            <w:vAlign w:val="center"/>
          </w:tcPr>
          <w:p w14:paraId="0B825D2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601" w:type="dxa"/>
            <w:vMerge w:val="continue"/>
            <w:shd w:val="clear" w:color="auto" w:fill="auto"/>
            <w:vAlign w:val="center"/>
          </w:tcPr>
          <w:p w14:paraId="1805BEE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D9E421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25E83D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1、仓存品均有标识清楚完整，包括的可追溯性标识（如入库日期等信息），便于识别</w:t>
            </w:r>
          </w:p>
        </w:tc>
        <w:tc>
          <w:tcPr>
            <w:tcW w:w="1009" w:type="dxa"/>
            <w:shd w:val="clear" w:color="auto" w:fill="auto"/>
            <w:vAlign w:val="center"/>
          </w:tcPr>
          <w:p w14:paraId="7761025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9-10分</w:t>
            </w:r>
          </w:p>
        </w:tc>
      </w:tr>
      <w:tr w14:paraId="0B2F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30FDA48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70FEA6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B3F653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03D7A1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76704B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2、仓存品部分有标识，清楚完整，包括的可追溯性标识，（如入库日期等信息）。</w:t>
            </w:r>
          </w:p>
        </w:tc>
        <w:tc>
          <w:tcPr>
            <w:tcW w:w="1009" w:type="dxa"/>
            <w:shd w:val="clear" w:color="auto" w:fill="auto"/>
            <w:vAlign w:val="center"/>
          </w:tcPr>
          <w:p w14:paraId="02CB535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8-9分</w:t>
            </w:r>
          </w:p>
        </w:tc>
      </w:tr>
      <w:tr w14:paraId="6870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0C1B8C2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402C74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FE7A03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C4A535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82F48B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3、仓存品均有标识基本清楚，包括的可追溯性标识，（如入库日期等信息），</w:t>
            </w:r>
          </w:p>
        </w:tc>
        <w:tc>
          <w:tcPr>
            <w:tcW w:w="1009" w:type="dxa"/>
            <w:shd w:val="clear" w:color="auto" w:fill="auto"/>
            <w:vAlign w:val="center"/>
          </w:tcPr>
          <w:p w14:paraId="2003BDD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8分以下</w:t>
            </w:r>
          </w:p>
        </w:tc>
      </w:tr>
      <w:tr w14:paraId="4C2D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48F22AE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31</w:t>
            </w:r>
            <w:r>
              <w:rPr>
                <w:rFonts w:hint="eastAsia" w:ascii="宋体" w:hAnsi="宋体" w:eastAsia="宋体" w:cs="宋体"/>
                <w:b w:val="0"/>
                <w:bCs w:val="0"/>
                <w:i w:val="0"/>
                <w:iCs w:val="0"/>
                <w:color w:val="000000"/>
                <w:kern w:val="0"/>
                <w:sz w:val="18"/>
                <w:szCs w:val="18"/>
                <w:u w:val="none"/>
                <w:lang w:val="en-US" w:eastAsia="zh-CN" w:bidi="ar"/>
              </w:rPr>
              <w:t xml:space="preserve"> 对仓存品实施有效防护，包括防潮霉、防虫鼠、离地离墙堆放、限制堆高等。</w:t>
            </w:r>
          </w:p>
        </w:tc>
        <w:tc>
          <w:tcPr>
            <w:tcW w:w="977" w:type="dxa"/>
            <w:vMerge w:val="restart"/>
            <w:shd w:val="clear" w:color="auto" w:fill="auto"/>
            <w:vAlign w:val="center"/>
          </w:tcPr>
          <w:p w14:paraId="6AA7EE2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601" w:type="dxa"/>
            <w:vMerge w:val="continue"/>
            <w:shd w:val="clear" w:color="auto" w:fill="auto"/>
            <w:vAlign w:val="center"/>
          </w:tcPr>
          <w:p w14:paraId="1F2E4DD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E17E35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633E50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1、防潮霉、防虫鼠、离地离墙堆放、限制堆高等防护措施得当的</w:t>
            </w:r>
          </w:p>
        </w:tc>
        <w:tc>
          <w:tcPr>
            <w:tcW w:w="1009" w:type="dxa"/>
            <w:shd w:val="clear" w:color="auto" w:fill="auto"/>
            <w:vAlign w:val="center"/>
          </w:tcPr>
          <w:p w14:paraId="3BA680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9-10分</w:t>
            </w:r>
          </w:p>
        </w:tc>
      </w:tr>
      <w:tr w14:paraId="36E2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79E662A7">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B443AAB">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A2C0B7C">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C9928B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9CA08E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2、防潮霉、防虫鼠、离地离墙堆放、限制堆高等措施中有不完整的，未对产品构成风险的</w:t>
            </w:r>
          </w:p>
        </w:tc>
        <w:tc>
          <w:tcPr>
            <w:tcW w:w="1009" w:type="dxa"/>
            <w:shd w:val="clear" w:color="auto" w:fill="auto"/>
            <w:vAlign w:val="center"/>
          </w:tcPr>
          <w:p w14:paraId="249F72F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8-9分</w:t>
            </w:r>
          </w:p>
        </w:tc>
      </w:tr>
      <w:tr w14:paraId="74BC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5187B1A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0F8DCD9">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32075DC">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14181DE">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CF8C02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3、防潮霉、防虫鼠、离地离墙堆放、限制堆高等措施中有不完整的，对产品构成风险的</w:t>
            </w:r>
          </w:p>
        </w:tc>
        <w:tc>
          <w:tcPr>
            <w:tcW w:w="1009" w:type="dxa"/>
            <w:shd w:val="clear" w:color="auto" w:fill="auto"/>
            <w:vAlign w:val="center"/>
          </w:tcPr>
          <w:p w14:paraId="396D972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8分以下</w:t>
            </w:r>
          </w:p>
        </w:tc>
      </w:tr>
      <w:tr w14:paraId="1AA1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17A5CF1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32</w:t>
            </w:r>
            <w:r>
              <w:rPr>
                <w:rFonts w:hint="eastAsia" w:ascii="宋体" w:hAnsi="宋体" w:eastAsia="宋体" w:cs="宋体"/>
                <w:b w:val="0"/>
                <w:bCs w:val="0"/>
                <w:i w:val="0"/>
                <w:iCs w:val="0"/>
                <w:color w:val="000000"/>
                <w:kern w:val="0"/>
                <w:sz w:val="18"/>
                <w:szCs w:val="18"/>
                <w:u w:val="none"/>
                <w:lang w:val="en-US" w:eastAsia="zh-CN" w:bidi="ar"/>
              </w:rPr>
              <w:t xml:space="preserve"> 化学品的储存、领用有防泄漏措施，有领用记录。</w:t>
            </w:r>
          </w:p>
        </w:tc>
        <w:tc>
          <w:tcPr>
            <w:tcW w:w="977" w:type="dxa"/>
            <w:vMerge w:val="restart"/>
            <w:shd w:val="clear" w:color="auto" w:fill="auto"/>
            <w:vAlign w:val="center"/>
          </w:tcPr>
          <w:p w14:paraId="68D89E3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continue"/>
            <w:shd w:val="clear" w:color="auto" w:fill="auto"/>
            <w:vAlign w:val="center"/>
          </w:tcPr>
          <w:p w14:paraId="2DA12AE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C651AF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90FBEF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1、化学品仓储存和搬运有防泄漏实施，领用记录完整</w:t>
            </w:r>
          </w:p>
        </w:tc>
        <w:tc>
          <w:tcPr>
            <w:tcW w:w="1009" w:type="dxa"/>
            <w:shd w:val="clear" w:color="auto" w:fill="auto"/>
            <w:vAlign w:val="center"/>
          </w:tcPr>
          <w:p w14:paraId="67CCA71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4.5-5分</w:t>
            </w:r>
          </w:p>
        </w:tc>
      </w:tr>
      <w:tr w14:paraId="7200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6616D999">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7D4BBD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D90838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70F1AA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1D7A97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2、化学品仓储存和搬运有防泄漏措施，领用记录完整，但有遗漏</w:t>
            </w:r>
          </w:p>
        </w:tc>
        <w:tc>
          <w:tcPr>
            <w:tcW w:w="1009" w:type="dxa"/>
            <w:shd w:val="clear" w:color="auto" w:fill="auto"/>
            <w:vAlign w:val="center"/>
          </w:tcPr>
          <w:p w14:paraId="4A104A5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4-4.5分</w:t>
            </w:r>
          </w:p>
        </w:tc>
      </w:tr>
      <w:tr w14:paraId="6C5A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70872A6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19828C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3D1398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FAC391D">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DBEBCE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3、化学品仓储存和搬运有防泄漏措施不完善，可能导致泄漏的</w:t>
            </w:r>
          </w:p>
        </w:tc>
        <w:tc>
          <w:tcPr>
            <w:tcW w:w="1009" w:type="dxa"/>
            <w:shd w:val="clear" w:color="auto" w:fill="auto"/>
            <w:vAlign w:val="center"/>
          </w:tcPr>
          <w:p w14:paraId="02137CC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4分以下</w:t>
            </w:r>
          </w:p>
        </w:tc>
      </w:tr>
      <w:tr w14:paraId="393E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62A6D05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33</w:t>
            </w:r>
            <w:r>
              <w:rPr>
                <w:rFonts w:hint="eastAsia" w:ascii="宋体" w:hAnsi="宋体" w:eastAsia="宋体" w:cs="宋体"/>
                <w:b w:val="0"/>
                <w:bCs w:val="0"/>
                <w:i w:val="0"/>
                <w:iCs w:val="0"/>
                <w:color w:val="000000"/>
                <w:kern w:val="0"/>
                <w:sz w:val="18"/>
                <w:szCs w:val="18"/>
                <w:u w:val="none"/>
                <w:lang w:val="en-US" w:eastAsia="zh-CN" w:bidi="ar"/>
              </w:rPr>
              <w:t xml:space="preserve"> 保持采购（含外发）的原材料、半成品、辅料、化学品等检验或验证记录，记录应明确检验和验证依据、抽样准则、结果判定等信息。</w:t>
            </w:r>
          </w:p>
        </w:tc>
        <w:tc>
          <w:tcPr>
            <w:tcW w:w="977" w:type="dxa"/>
            <w:vMerge w:val="restart"/>
            <w:shd w:val="clear" w:color="auto" w:fill="auto"/>
            <w:vAlign w:val="center"/>
          </w:tcPr>
          <w:p w14:paraId="48424D9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5476880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1、申报品类产品的全过程检验记录、包括：来料、过程、成品检验记录、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2、样品登记及管理记录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3、月度品质报告，使用QC工作进行分析</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4、客户投诉、内部不良发生的纠正预防措施报告</w:t>
            </w:r>
          </w:p>
        </w:tc>
        <w:tc>
          <w:tcPr>
            <w:tcW w:w="2769" w:type="dxa"/>
            <w:vMerge w:val="restart"/>
            <w:shd w:val="clear" w:color="auto" w:fill="auto"/>
            <w:vAlign w:val="center"/>
          </w:tcPr>
          <w:p w14:paraId="07FB57C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703186E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1、保持来料检验或者验证记录，记录中明确了检验和验证依据、抽样准则、结果判定等信息，结果可信</w:t>
            </w:r>
          </w:p>
        </w:tc>
        <w:tc>
          <w:tcPr>
            <w:tcW w:w="1009" w:type="dxa"/>
            <w:shd w:val="clear" w:color="auto" w:fill="auto"/>
            <w:vAlign w:val="center"/>
          </w:tcPr>
          <w:p w14:paraId="2E7D4EE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44F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2E668274">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32EA57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73369FE">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756853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B6F28D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2、保持来料检验或者验证记录，记录中有缺项，不能全部覆盖检验和验证依据、抽样准则、结果判定等信息不全</w:t>
            </w:r>
          </w:p>
        </w:tc>
        <w:tc>
          <w:tcPr>
            <w:tcW w:w="1009" w:type="dxa"/>
            <w:shd w:val="clear" w:color="auto" w:fill="auto"/>
            <w:vAlign w:val="center"/>
          </w:tcPr>
          <w:p w14:paraId="3B41A2E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92D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3955FC0B">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435E4F0">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3B303F8">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21DE32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80516D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3、没有保持来料检验或者验证记录，不能形成追溯</w:t>
            </w:r>
          </w:p>
        </w:tc>
        <w:tc>
          <w:tcPr>
            <w:tcW w:w="1009" w:type="dxa"/>
            <w:shd w:val="clear" w:color="auto" w:fill="auto"/>
            <w:vAlign w:val="center"/>
          </w:tcPr>
          <w:p w14:paraId="41277A0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187B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548F38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34</w:t>
            </w:r>
            <w:r>
              <w:rPr>
                <w:rFonts w:hint="eastAsia" w:ascii="宋体" w:hAnsi="宋体" w:eastAsia="宋体" w:cs="宋体"/>
                <w:b w:val="0"/>
                <w:bCs w:val="0"/>
                <w:i w:val="0"/>
                <w:iCs w:val="0"/>
                <w:color w:val="000000"/>
                <w:kern w:val="0"/>
                <w:sz w:val="18"/>
                <w:szCs w:val="18"/>
                <w:u w:val="none"/>
                <w:lang w:val="en-US" w:eastAsia="zh-CN" w:bidi="ar"/>
              </w:rPr>
              <w:t xml:space="preserve"> 保持过程检验记录。记录明确检验和验证依据、抽样准则、结果判定等信息。</w:t>
            </w:r>
          </w:p>
        </w:tc>
        <w:tc>
          <w:tcPr>
            <w:tcW w:w="977" w:type="dxa"/>
            <w:vMerge w:val="restart"/>
            <w:shd w:val="clear" w:color="auto" w:fill="auto"/>
            <w:vAlign w:val="center"/>
          </w:tcPr>
          <w:p w14:paraId="073D6E4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6148A9D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A84A4A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C46BD3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1、保持过程检验，记录中明确了检验和验证依据、抽样准则、结果判定等信息，结果可信</w:t>
            </w:r>
          </w:p>
        </w:tc>
        <w:tc>
          <w:tcPr>
            <w:tcW w:w="1009" w:type="dxa"/>
            <w:shd w:val="clear" w:color="auto" w:fill="auto"/>
            <w:vAlign w:val="center"/>
          </w:tcPr>
          <w:p w14:paraId="4606C81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68C5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774CAE63">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C2D0780">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150249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168FA67">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C0F046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2、保持过程检验，记录中有缺项，不能全部覆盖检验和验证依据、抽样准则、结果判定等信息不全</w:t>
            </w:r>
          </w:p>
        </w:tc>
        <w:tc>
          <w:tcPr>
            <w:tcW w:w="1009" w:type="dxa"/>
            <w:shd w:val="clear" w:color="auto" w:fill="auto"/>
            <w:vAlign w:val="center"/>
          </w:tcPr>
          <w:p w14:paraId="02E7EC2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28A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C96BAC6">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43D211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1F74AE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B8F5D7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283A00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3、没有保持过程检验，不能形成追溯</w:t>
            </w:r>
          </w:p>
        </w:tc>
        <w:tc>
          <w:tcPr>
            <w:tcW w:w="1009" w:type="dxa"/>
            <w:shd w:val="clear" w:color="auto" w:fill="auto"/>
            <w:vAlign w:val="center"/>
          </w:tcPr>
          <w:p w14:paraId="6AA442F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695B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51467C1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35</w:t>
            </w:r>
            <w:r>
              <w:rPr>
                <w:rFonts w:hint="eastAsia" w:ascii="宋体" w:hAnsi="宋体" w:eastAsia="宋体" w:cs="宋体"/>
                <w:b w:val="0"/>
                <w:bCs w:val="0"/>
                <w:i w:val="0"/>
                <w:iCs w:val="0"/>
                <w:color w:val="000000"/>
                <w:kern w:val="0"/>
                <w:sz w:val="18"/>
                <w:szCs w:val="18"/>
                <w:u w:val="none"/>
                <w:lang w:val="en-US" w:eastAsia="zh-CN" w:bidi="ar"/>
              </w:rPr>
              <w:t xml:space="preserve"> 保持成品检验记录，记录明确检验和验证依据、抽样准则、结果判定等信息。</w:t>
            </w:r>
          </w:p>
        </w:tc>
        <w:tc>
          <w:tcPr>
            <w:tcW w:w="977" w:type="dxa"/>
            <w:vMerge w:val="restart"/>
            <w:shd w:val="clear" w:color="auto" w:fill="auto"/>
            <w:vAlign w:val="center"/>
          </w:tcPr>
          <w:p w14:paraId="5C716EE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07CC668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891845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B97AB7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1、保持成品检验，记录中明确了检验和验证依据、抽样准则、结果判定等信息，结果可信</w:t>
            </w:r>
          </w:p>
        </w:tc>
        <w:tc>
          <w:tcPr>
            <w:tcW w:w="1009" w:type="dxa"/>
            <w:shd w:val="clear" w:color="auto" w:fill="auto"/>
            <w:vAlign w:val="center"/>
          </w:tcPr>
          <w:p w14:paraId="1B102CD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ACC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60A8681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0E0D279">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7D46B40">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D38C04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D2964E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2、保持成品检验，记录中有缺项，不能全部覆盖检验和验证依据、抽样准则、结果判定等信息不全</w:t>
            </w:r>
          </w:p>
        </w:tc>
        <w:tc>
          <w:tcPr>
            <w:tcW w:w="1009" w:type="dxa"/>
            <w:shd w:val="clear" w:color="auto" w:fill="auto"/>
            <w:vAlign w:val="center"/>
          </w:tcPr>
          <w:p w14:paraId="1ADDC9E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0240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71A2CB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C409CC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A6DAFA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1C7DC50">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B360FE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3、没有保持过程检验，不能形成追溯</w:t>
            </w:r>
          </w:p>
        </w:tc>
        <w:tc>
          <w:tcPr>
            <w:tcW w:w="1009" w:type="dxa"/>
            <w:shd w:val="clear" w:color="auto" w:fill="auto"/>
            <w:vAlign w:val="center"/>
          </w:tcPr>
          <w:p w14:paraId="050C078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7E8A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38E0A0B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36</w:t>
            </w:r>
            <w:r>
              <w:rPr>
                <w:rFonts w:hint="eastAsia" w:ascii="宋体" w:hAnsi="宋体" w:eastAsia="宋体" w:cs="宋体"/>
                <w:b w:val="0"/>
                <w:bCs w:val="0"/>
                <w:i w:val="0"/>
                <w:iCs w:val="0"/>
                <w:color w:val="000000"/>
                <w:kern w:val="0"/>
                <w:sz w:val="18"/>
                <w:szCs w:val="18"/>
                <w:u w:val="none"/>
                <w:lang w:val="en-US" w:eastAsia="zh-CN" w:bidi="ar"/>
              </w:rPr>
              <w:t xml:space="preserve"> 对检验用标准样品实施管理，有明确的标识。</w:t>
            </w:r>
          </w:p>
        </w:tc>
        <w:tc>
          <w:tcPr>
            <w:tcW w:w="977" w:type="dxa"/>
            <w:vMerge w:val="restart"/>
            <w:shd w:val="clear" w:color="auto" w:fill="auto"/>
            <w:vAlign w:val="center"/>
          </w:tcPr>
          <w:p w14:paraId="23E5084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0F61388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DBAFF2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CDFA1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1、有样品管理制度、样品标识清晰、有使用登记</w:t>
            </w:r>
          </w:p>
        </w:tc>
        <w:tc>
          <w:tcPr>
            <w:tcW w:w="1009" w:type="dxa"/>
            <w:shd w:val="clear" w:color="auto" w:fill="auto"/>
            <w:vAlign w:val="center"/>
          </w:tcPr>
          <w:p w14:paraId="50E468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5B27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404005D0">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C24434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B52BBE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49E809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D9E1BC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2、有样品管理制度，但管理记录不完备</w:t>
            </w:r>
          </w:p>
        </w:tc>
        <w:tc>
          <w:tcPr>
            <w:tcW w:w="1009" w:type="dxa"/>
            <w:shd w:val="clear" w:color="auto" w:fill="auto"/>
            <w:vAlign w:val="center"/>
          </w:tcPr>
          <w:p w14:paraId="311F8DA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6245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5A6CDCBD">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638557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3F7FC33">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413B668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77C7E8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3、没有样品管理制度，对样品的实际管理不规范</w:t>
            </w:r>
          </w:p>
        </w:tc>
        <w:tc>
          <w:tcPr>
            <w:tcW w:w="1009" w:type="dxa"/>
            <w:shd w:val="clear" w:color="auto" w:fill="auto"/>
            <w:vAlign w:val="center"/>
          </w:tcPr>
          <w:p w14:paraId="415F438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7416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57F9859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37</w:t>
            </w:r>
            <w:r>
              <w:rPr>
                <w:rFonts w:hint="eastAsia" w:ascii="宋体" w:hAnsi="宋体" w:eastAsia="宋体" w:cs="宋体"/>
                <w:b w:val="0"/>
                <w:bCs w:val="0"/>
                <w:i w:val="0"/>
                <w:iCs w:val="0"/>
                <w:color w:val="000000"/>
                <w:kern w:val="0"/>
                <w:sz w:val="18"/>
                <w:szCs w:val="18"/>
                <w:u w:val="none"/>
                <w:lang w:val="en-US" w:eastAsia="zh-CN" w:bidi="ar"/>
              </w:rPr>
              <w:t xml:space="preserve"> 保持进料、过程、成品检验实施中发生的不合格品记录，记录应包括不合格品的描述、原因分析、改进措施等信息。</w:t>
            </w:r>
          </w:p>
        </w:tc>
        <w:tc>
          <w:tcPr>
            <w:tcW w:w="977" w:type="dxa"/>
            <w:vMerge w:val="restart"/>
            <w:shd w:val="clear" w:color="auto" w:fill="auto"/>
            <w:vAlign w:val="center"/>
          </w:tcPr>
          <w:p w14:paraId="0471DB2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57A819F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C687C40">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D23335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1、有不合格品记录，记录包括不合格品的描述、原因分析、改进措施等信息结果可信</w:t>
            </w:r>
          </w:p>
        </w:tc>
        <w:tc>
          <w:tcPr>
            <w:tcW w:w="1009" w:type="dxa"/>
            <w:shd w:val="clear" w:color="auto" w:fill="auto"/>
            <w:vAlign w:val="center"/>
          </w:tcPr>
          <w:p w14:paraId="3F44CA7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0BBF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951D657">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0D61B4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E07F33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68C811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230E7E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2、有不合格品记录，但不合格品的描述、原因分析、改进措施等信息有缺项</w:t>
            </w:r>
          </w:p>
        </w:tc>
        <w:tc>
          <w:tcPr>
            <w:tcW w:w="1009" w:type="dxa"/>
            <w:shd w:val="clear" w:color="auto" w:fill="auto"/>
            <w:vAlign w:val="center"/>
          </w:tcPr>
          <w:p w14:paraId="2A74AF8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5838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4B6BBF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FC6DEB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726333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9648ED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5A2CE2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3、没有不合格记录，也没有其他处理的方式</w:t>
            </w:r>
          </w:p>
        </w:tc>
        <w:tc>
          <w:tcPr>
            <w:tcW w:w="1009" w:type="dxa"/>
            <w:shd w:val="clear" w:color="auto" w:fill="auto"/>
            <w:vAlign w:val="center"/>
          </w:tcPr>
          <w:p w14:paraId="23D8CCC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43E3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7ABC03C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38</w:t>
            </w:r>
            <w:r>
              <w:rPr>
                <w:rFonts w:hint="eastAsia" w:ascii="宋体" w:hAnsi="宋体" w:eastAsia="宋体" w:cs="宋体"/>
                <w:b w:val="0"/>
                <w:bCs w:val="0"/>
                <w:i w:val="0"/>
                <w:iCs w:val="0"/>
                <w:color w:val="000000"/>
                <w:kern w:val="0"/>
                <w:sz w:val="18"/>
                <w:szCs w:val="18"/>
                <w:u w:val="none"/>
                <w:lang w:val="en-US" w:eastAsia="zh-CN" w:bidi="ar"/>
              </w:rPr>
              <w:t xml:space="preserve"> 定期收集和分析产品质量数据，保持统计和分析记录。</w:t>
            </w:r>
          </w:p>
        </w:tc>
        <w:tc>
          <w:tcPr>
            <w:tcW w:w="977" w:type="dxa"/>
            <w:vMerge w:val="restart"/>
            <w:shd w:val="clear" w:color="auto" w:fill="auto"/>
            <w:vAlign w:val="center"/>
          </w:tcPr>
          <w:p w14:paraId="5F880DF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continue"/>
            <w:shd w:val="clear" w:color="auto" w:fill="auto"/>
            <w:vAlign w:val="center"/>
          </w:tcPr>
          <w:p w14:paraId="04B55022">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D17C3C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056FF2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1、有定期的质量分析数据报告，分析结果可靠被利用</w:t>
            </w:r>
          </w:p>
        </w:tc>
        <w:tc>
          <w:tcPr>
            <w:tcW w:w="1009" w:type="dxa"/>
            <w:shd w:val="clear" w:color="auto" w:fill="auto"/>
            <w:vAlign w:val="center"/>
          </w:tcPr>
          <w:p w14:paraId="15B74B9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288B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24A133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786698A8">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7AF4F8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71FBE455">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C42920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2、虽有定期的质量分析数据报告，分析结果不准确或没有被充分利用，</w:t>
            </w:r>
          </w:p>
        </w:tc>
        <w:tc>
          <w:tcPr>
            <w:tcW w:w="1009" w:type="dxa"/>
            <w:shd w:val="clear" w:color="auto" w:fill="auto"/>
            <w:vAlign w:val="center"/>
          </w:tcPr>
          <w:p w14:paraId="51A28C9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3AAF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03C5A09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9042AB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56C9D2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E054F4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CF67A6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3、没有定期的质量分析数据报告，</w:t>
            </w:r>
          </w:p>
        </w:tc>
        <w:tc>
          <w:tcPr>
            <w:tcW w:w="1009" w:type="dxa"/>
            <w:shd w:val="clear" w:color="auto" w:fill="auto"/>
            <w:vAlign w:val="center"/>
          </w:tcPr>
          <w:p w14:paraId="6529001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2A0A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2E417C1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39</w:t>
            </w:r>
            <w:r>
              <w:rPr>
                <w:rFonts w:hint="eastAsia" w:ascii="宋体" w:hAnsi="宋体" w:eastAsia="宋体" w:cs="宋体"/>
                <w:b w:val="0"/>
                <w:bCs w:val="0"/>
                <w:i w:val="0"/>
                <w:iCs w:val="0"/>
                <w:color w:val="000000"/>
                <w:kern w:val="0"/>
                <w:sz w:val="18"/>
                <w:szCs w:val="18"/>
                <w:u w:val="none"/>
                <w:lang w:val="en-US" w:eastAsia="zh-CN" w:bidi="ar"/>
              </w:rPr>
              <w:t xml:space="preserve"> 在产品包装或附带文件中明确产品责任，根据不同产品要求，内容可能包括：产品质量警示、安全提醒、健康提醒、环保要求等。</w:t>
            </w:r>
          </w:p>
        </w:tc>
        <w:tc>
          <w:tcPr>
            <w:tcW w:w="977" w:type="dxa"/>
            <w:vMerge w:val="restart"/>
            <w:shd w:val="clear" w:color="auto" w:fill="auto"/>
            <w:vAlign w:val="center"/>
          </w:tcPr>
          <w:p w14:paraId="1D09FD7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29E70CD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现场抽取申报品类的产品成品或包装，确认产品包装信息及防伪措施，与4.2.3条款一并确认</w:t>
            </w:r>
          </w:p>
        </w:tc>
        <w:tc>
          <w:tcPr>
            <w:tcW w:w="2769" w:type="dxa"/>
            <w:vMerge w:val="restart"/>
            <w:shd w:val="clear" w:color="auto" w:fill="auto"/>
            <w:vAlign w:val="center"/>
          </w:tcPr>
          <w:p w14:paraId="30A19F7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产品或包装实物确认</w:t>
            </w:r>
          </w:p>
        </w:tc>
        <w:tc>
          <w:tcPr>
            <w:tcW w:w="3574" w:type="dxa"/>
            <w:shd w:val="clear" w:color="auto" w:fill="auto"/>
            <w:vAlign w:val="center"/>
          </w:tcPr>
          <w:p w14:paraId="38555C2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1、外包装或说明书上产品质量警示、安全提醒、健康提醒、环保要求等信息完整，或不完整但不影响使用</w:t>
            </w:r>
          </w:p>
        </w:tc>
        <w:tc>
          <w:tcPr>
            <w:tcW w:w="1009" w:type="dxa"/>
            <w:shd w:val="clear" w:color="auto" w:fill="auto"/>
            <w:vAlign w:val="center"/>
          </w:tcPr>
          <w:p w14:paraId="4FBDB06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340A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057292C9">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EF079F2">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2E1B23C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4109B7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AD0834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2、外包装或说明书上产品质量警示、安全提醒、健康提醒、环保要求等信息不完整，且影响使用</w:t>
            </w:r>
          </w:p>
        </w:tc>
        <w:tc>
          <w:tcPr>
            <w:tcW w:w="1009" w:type="dxa"/>
            <w:shd w:val="clear" w:color="auto" w:fill="auto"/>
            <w:vAlign w:val="center"/>
          </w:tcPr>
          <w:p w14:paraId="7FE8363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691D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2B2C85B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22A1C1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D4749A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AF3F6E8">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F63895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3、外包装或说明书没有信息的，</w:t>
            </w:r>
          </w:p>
        </w:tc>
        <w:tc>
          <w:tcPr>
            <w:tcW w:w="1009" w:type="dxa"/>
            <w:shd w:val="clear" w:color="auto" w:fill="auto"/>
            <w:vAlign w:val="center"/>
          </w:tcPr>
          <w:p w14:paraId="5F470D5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090E1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6FAB32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40</w:t>
            </w:r>
            <w:r>
              <w:rPr>
                <w:rFonts w:hint="eastAsia" w:ascii="宋体" w:hAnsi="宋体" w:eastAsia="宋体" w:cs="宋体"/>
                <w:b w:val="0"/>
                <w:bCs w:val="0"/>
                <w:i w:val="0"/>
                <w:iCs w:val="0"/>
                <w:color w:val="000000"/>
                <w:kern w:val="0"/>
                <w:sz w:val="18"/>
                <w:szCs w:val="18"/>
                <w:u w:val="none"/>
                <w:lang w:val="en-US" w:eastAsia="zh-CN" w:bidi="ar"/>
              </w:rPr>
              <w:t xml:space="preserve"> 产品采用了防伪措施。</w:t>
            </w:r>
          </w:p>
        </w:tc>
        <w:tc>
          <w:tcPr>
            <w:tcW w:w="977" w:type="dxa"/>
            <w:vMerge w:val="restart"/>
            <w:shd w:val="clear" w:color="auto" w:fill="auto"/>
            <w:vAlign w:val="center"/>
          </w:tcPr>
          <w:p w14:paraId="49D4594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1E23182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现场抽取申报品类的产品成品或包装，确认产品包装信息及防伪措施，与4.2.3条款一并确认</w:t>
            </w:r>
          </w:p>
        </w:tc>
        <w:tc>
          <w:tcPr>
            <w:tcW w:w="2769" w:type="dxa"/>
            <w:vMerge w:val="restart"/>
            <w:shd w:val="clear" w:color="auto" w:fill="auto"/>
            <w:vAlign w:val="center"/>
          </w:tcPr>
          <w:p w14:paraId="03D5A3A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产品或包装实物确认</w:t>
            </w:r>
          </w:p>
        </w:tc>
        <w:tc>
          <w:tcPr>
            <w:tcW w:w="3574" w:type="dxa"/>
            <w:shd w:val="clear" w:color="auto" w:fill="auto"/>
            <w:vAlign w:val="center"/>
          </w:tcPr>
          <w:p w14:paraId="25E6F3F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1、有防伪标识的给分（含条码、二维码等）</w:t>
            </w:r>
          </w:p>
        </w:tc>
        <w:tc>
          <w:tcPr>
            <w:tcW w:w="1009" w:type="dxa"/>
            <w:shd w:val="clear" w:color="auto" w:fill="auto"/>
            <w:vAlign w:val="center"/>
          </w:tcPr>
          <w:p w14:paraId="76E0A5A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3FBF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79C2D2E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19F2D50">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211E75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935725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CFEBB4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2、虽有防伪标识，但识别困难的</w:t>
            </w:r>
          </w:p>
        </w:tc>
        <w:tc>
          <w:tcPr>
            <w:tcW w:w="1009" w:type="dxa"/>
            <w:shd w:val="clear" w:color="auto" w:fill="auto"/>
            <w:vAlign w:val="center"/>
          </w:tcPr>
          <w:p w14:paraId="6CE81E6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59DA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2975C02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03ECBF60">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143DAA85">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0865884">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8B67DE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3、没有防伪标识的</w:t>
            </w:r>
          </w:p>
        </w:tc>
        <w:tc>
          <w:tcPr>
            <w:tcW w:w="1009" w:type="dxa"/>
            <w:shd w:val="clear" w:color="auto" w:fill="auto"/>
            <w:vAlign w:val="center"/>
          </w:tcPr>
          <w:p w14:paraId="21964C1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5877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2E12A0D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41</w:t>
            </w:r>
            <w:r>
              <w:rPr>
                <w:rFonts w:hint="eastAsia" w:ascii="宋体" w:hAnsi="宋体" w:eastAsia="宋体" w:cs="宋体"/>
                <w:b w:val="0"/>
                <w:bCs w:val="0"/>
                <w:i w:val="0"/>
                <w:iCs w:val="0"/>
                <w:color w:val="000000"/>
                <w:kern w:val="0"/>
                <w:sz w:val="18"/>
                <w:szCs w:val="18"/>
                <w:u w:val="none"/>
                <w:lang w:val="en-US" w:eastAsia="zh-CN" w:bidi="ar"/>
              </w:rPr>
              <w:t xml:space="preserve"> 为产品购买责任保险。</w:t>
            </w:r>
          </w:p>
        </w:tc>
        <w:tc>
          <w:tcPr>
            <w:tcW w:w="977" w:type="dxa"/>
            <w:vMerge w:val="restart"/>
            <w:shd w:val="clear" w:color="auto" w:fill="auto"/>
            <w:vAlign w:val="center"/>
          </w:tcPr>
          <w:p w14:paraId="792EE04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7E90C89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保险凭证或产品上标注的投保信息</w:t>
            </w:r>
          </w:p>
        </w:tc>
        <w:tc>
          <w:tcPr>
            <w:tcW w:w="2769" w:type="dxa"/>
            <w:vMerge w:val="restart"/>
            <w:shd w:val="clear" w:color="auto" w:fill="auto"/>
            <w:vAlign w:val="center"/>
          </w:tcPr>
          <w:p w14:paraId="3B53FE3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641A8B7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1、有保险凭证或产品上标注投保信息</w:t>
            </w:r>
          </w:p>
        </w:tc>
        <w:tc>
          <w:tcPr>
            <w:tcW w:w="1009" w:type="dxa"/>
            <w:shd w:val="clear" w:color="auto" w:fill="auto"/>
            <w:vAlign w:val="center"/>
          </w:tcPr>
          <w:p w14:paraId="0D85F0A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3F0D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728" w:type="dxa"/>
            <w:vMerge w:val="continue"/>
            <w:shd w:val="clear" w:color="auto" w:fill="auto"/>
            <w:vAlign w:val="center"/>
          </w:tcPr>
          <w:p w14:paraId="603579AB">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DB345BC">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492A27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B93C6E6">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84D267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2、没有保险凭证，产品上未标注投保信息</w:t>
            </w:r>
          </w:p>
        </w:tc>
        <w:tc>
          <w:tcPr>
            <w:tcW w:w="1009" w:type="dxa"/>
            <w:shd w:val="clear" w:color="auto" w:fill="auto"/>
            <w:vAlign w:val="center"/>
          </w:tcPr>
          <w:p w14:paraId="18C9EDC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10-15分</w:t>
            </w:r>
          </w:p>
        </w:tc>
      </w:tr>
      <w:tr w14:paraId="4277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2728" w:type="dxa"/>
            <w:vMerge w:val="restart"/>
            <w:shd w:val="clear" w:color="auto" w:fill="auto"/>
            <w:vAlign w:val="center"/>
          </w:tcPr>
          <w:p w14:paraId="497823A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42</w:t>
            </w:r>
            <w:r>
              <w:rPr>
                <w:rFonts w:hint="eastAsia" w:ascii="宋体" w:hAnsi="宋体" w:eastAsia="宋体" w:cs="宋体"/>
                <w:b w:val="0"/>
                <w:bCs w:val="0"/>
                <w:i w:val="0"/>
                <w:iCs w:val="0"/>
                <w:color w:val="000000"/>
                <w:kern w:val="0"/>
                <w:sz w:val="18"/>
                <w:szCs w:val="18"/>
                <w:u w:val="none"/>
                <w:lang w:val="en-US" w:eastAsia="zh-CN" w:bidi="ar"/>
              </w:rPr>
              <w:t xml:space="preserve"> 建立完善的客户服务体系，能提供及时、有效的售后服务，包括产品使用和维护咨询、产品维修服务、客户投诉、退换货服务等，保留服务记录。</w:t>
            </w:r>
          </w:p>
        </w:tc>
        <w:tc>
          <w:tcPr>
            <w:tcW w:w="977" w:type="dxa"/>
            <w:vMerge w:val="restart"/>
            <w:shd w:val="clear" w:color="auto" w:fill="auto"/>
            <w:vAlign w:val="center"/>
          </w:tcPr>
          <w:p w14:paraId="3441DFD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77029A0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可与3.1.5结合确认。</w:t>
            </w:r>
          </w:p>
        </w:tc>
        <w:tc>
          <w:tcPr>
            <w:tcW w:w="2769" w:type="dxa"/>
            <w:vMerge w:val="restart"/>
            <w:shd w:val="clear" w:color="auto" w:fill="auto"/>
            <w:vAlign w:val="center"/>
          </w:tcPr>
          <w:p w14:paraId="4BF6760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79943A7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1、建立完善的客户服务体系，能完整提供产品退换、维修、客户投诉处置记录的</w:t>
            </w:r>
          </w:p>
        </w:tc>
        <w:tc>
          <w:tcPr>
            <w:tcW w:w="1009" w:type="dxa"/>
            <w:shd w:val="clear" w:color="auto" w:fill="auto"/>
            <w:vAlign w:val="center"/>
          </w:tcPr>
          <w:p w14:paraId="7902596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1A53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775F67A2">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0DE7E0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58AA4C7">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90E0FFE">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2631A55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2、建立客户服务体系，但产品退换、维修、客户投诉处置记录不完整</w:t>
            </w:r>
          </w:p>
        </w:tc>
        <w:tc>
          <w:tcPr>
            <w:tcW w:w="1009" w:type="dxa"/>
            <w:shd w:val="clear" w:color="auto" w:fill="auto"/>
            <w:vAlign w:val="center"/>
          </w:tcPr>
          <w:p w14:paraId="035D996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15-18分</w:t>
            </w:r>
          </w:p>
        </w:tc>
      </w:tr>
      <w:tr w14:paraId="3DA6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728" w:type="dxa"/>
            <w:vMerge w:val="continue"/>
            <w:shd w:val="clear" w:color="auto" w:fill="auto"/>
            <w:vAlign w:val="center"/>
          </w:tcPr>
          <w:p w14:paraId="5D6C448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F08FC3A">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858E33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EA9604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EF44AB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3、未建立客户服务体系</w:t>
            </w:r>
          </w:p>
        </w:tc>
        <w:tc>
          <w:tcPr>
            <w:tcW w:w="1009" w:type="dxa"/>
            <w:shd w:val="clear" w:color="auto" w:fill="auto"/>
            <w:vAlign w:val="center"/>
          </w:tcPr>
          <w:p w14:paraId="4D02A8B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15分以下</w:t>
            </w:r>
          </w:p>
        </w:tc>
      </w:tr>
      <w:tr w14:paraId="61FA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2728" w:type="dxa"/>
            <w:vMerge w:val="restart"/>
            <w:shd w:val="clear" w:color="auto" w:fill="auto"/>
            <w:vAlign w:val="center"/>
          </w:tcPr>
          <w:p w14:paraId="5FA0E02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43</w:t>
            </w:r>
            <w:r>
              <w:rPr>
                <w:rFonts w:hint="eastAsia" w:ascii="宋体" w:hAnsi="宋体" w:eastAsia="宋体" w:cs="宋体"/>
                <w:b w:val="0"/>
                <w:bCs w:val="0"/>
                <w:i w:val="0"/>
                <w:iCs w:val="0"/>
                <w:color w:val="000000"/>
                <w:kern w:val="0"/>
                <w:sz w:val="18"/>
                <w:szCs w:val="18"/>
                <w:u w:val="none"/>
                <w:lang w:val="en-US" w:eastAsia="zh-CN" w:bidi="ar"/>
              </w:rPr>
              <w:t xml:space="preserve"> 建立完善的产品追溯体系，其中农副产品、食品、化妆品和药品至少能追溯原材料使用、生产日期、出厂检验等信息；其他产品至少能追溯出厂检验信息。</w:t>
            </w:r>
          </w:p>
        </w:tc>
        <w:tc>
          <w:tcPr>
            <w:tcW w:w="977" w:type="dxa"/>
            <w:vMerge w:val="restart"/>
            <w:shd w:val="clear" w:color="auto" w:fill="auto"/>
            <w:vAlign w:val="center"/>
          </w:tcPr>
          <w:p w14:paraId="129B5AB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601" w:type="dxa"/>
            <w:vMerge w:val="restart"/>
            <w:shd w:val="clear" w:color="auto" w:fill="auto"/>
            <w:vAlign w:val="center"/>
          </w:tcPr>
          <w:p w14:paraId="230641D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与4.1.2和4.1.3条款结合评审，</w:t>
            </w:r>
          </w:p>
        </w:tc>
        <w:tc>
          <w:tcPr>
            <w:tcW w:w="2769" w:type="dxa"/>
            <w:vMerge w:val="restart"/>
            <w:shd w:val="clear" w:color="auto" w:fill="auto"/>
            <w:vAlign w:val="center"/>
          </w:tcPr>
          <w:p w14:paraId="2EEBAD1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47C0760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1、抽样一款产品，能全流程清晰溯源的，记录完整</w:t>
            </w:r>
          </w:p>
        </w:tc>
        <w:tc>
          <w:tcPr>
            <w:tcW w:w="1009" w:type="dxa"/>
            <w:shd w:val="clear" w:color="auto" w:fill="auto"/>
            <w:vAlign w:val="center"/>
          </w:tcPr>
          <w:p w14:paraId="2DF8F9A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18-20分</w:t>
            </w:r>
          </w:p>
        </w:tc>
      </w:tr>
      <w:tr w14:paraId="6DE7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2728" w:type="dxa"/>
            <w:vMerge w:val="continue"/>
            <w:shd w:val="clear" w:color="auto" w:fill="auto"/>
            <w:vAlign w:val="center"/>
          </w:tcPr>
          <w:p w14:paraId="751FA6F5">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C1E81AD">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A9F537F">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37BC84A">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C6F5FD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2、抽样一款产品，部分流程能溯源，记录不完整的</w:t>
            </w:r>
          </w:p>
        </w:tc>
        <w:tc>
          <w:tcPr>
            <w:tcW w:w="1009" w:type="dxa"/>
            <w:shd w:val="clear" w:color="auto" w:fill="auto"/>
            <w:vAlign w:val="center"/>
          </w:tcPr>
          <w:p w14:paraId="415CB9C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16-18分</w:t>
            </w:r>
          </w:p>
        </w:tc>
      </w:tr>
      <w:tr w14:paraId="6BD3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2728" w:type="dxa"/>
            <w:vMerge w:val="continue"/>
            <w:shd w:val="clear" w:color="auto" w:fill="auto"/>
            <w:vAlign w:val="center"/>
          </w:tcPr>
          <w:p w14:paraId="76F12E56">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1BEA0E26">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7461DF4">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6F385CA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753A171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3、抽样一款产品，不能溯源</w:t>
            </w:r>
          </w:p>
        </w:tc>
        <w:tc>
          <w:tcPr>
            <w:tcW w:w="1009" w:type="dxa"/>
            <w:shd w:val="clear" w:color="auto" w:fill="auto"/>
            <w:vAlign w:val="center"/>
          </w:tcPr>
          <w:p w14:paraId="400F2F0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16分以下</w:t>
            </w:r>
          </w:p>
        </w:tc>
      </w:tr>
      <w:tr w14:paraId="4F41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restart"/>
            <w:shd w:val="clear" w:color="auto" w:fill="auto"/>
            <w:vAlign w:val="center"/>
          </w:tcPr>
          <w:p w14:paraId="2E14D09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44</w:t>
            </w:r>
            <w:r>
              <w:rPr>
                <w:rFonts w:hint="eastAsia" w:ascii="宋体" w:hAnsi="宋体" w:eastAsia="宋体" w:cs="宋体"/>
                <w:b w:val="0"/>
                <w:bCs w:val="0"/>
                <w:i w:val="0"/>
                <w:iCs w:val="0"/>
                <w:color w:val="000000"/>
                <w:kern w:val="0"/>
                <w:sz w:val="18"/>
                <w:szCs w:val="18"/>
                <w:u w:val="none"/>
                <w:lang w:val="en-US" w:eastAsia="zh-CN" w:bidi="ar"/>
              </w:rPr>
              <w:t xml:space="preserve"> 保持产品召回演练记录，如有实际发生的，保持召回实施记录。</w:t>
            </w:r>
          </w:p>
        </w:tc>
        <w:tc>
          <w:tcPr>
            <w:tcW w:w="977" w:type="dxa"/>
            <w:vMerge w:val="restart"/>
            <w:shd w:val="clear" w:color="auto" w:fill="auto"/>
            <w:vAlign w:val="center"/>
          </w:tcPr>
          <w:p w14:paraId="0B7A9C7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w:t>
            </w:r>
          </w:p>
        </w:tc>
        <w:tc>
          <w:tcPr>
            <w:tcW w:w="3601" w:type="dxa"/>
            <w:vMerge w:val="restart"/>
            <w:shd w:val="clear" w:color="auto" w:fill="auto"/>
            <w:vAlign w:val="center"/>
          </w:tcPr>
          <w:p w14:paraId="351E4AE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与3.1.5条款一并确认，</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1、召回文件</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2、召回记录</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3、召回演练记录</w:t>
            </w:r>
          </w:p>
        </w:tc>
        <w:tc>
          <w:tcPr>
            <w:tcW w:w="2769" w:type="dxa"/>
            <w:vMerge w:val="restart"/>
            <w:shd w:val="clear" w:color="auto" w:fill="auto"/>
            <w:vAlign w:val="center"/>
          </w:tcPr>
          <w:p w14:paraId="4707CFE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3981B91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1、有召回制度、有召回演练计划和实施记录或有实际召回发生，能按照要求处理的</w:t>
            </w:r>
          </w:p>
        </w:tc>
        <w:tc>
          <w:tcPr>
            <w:tcW w:w="1009" w:type="dxa"/>
            <w:shd w:val="clear" w:color="auto" w:fill="auto"/>
            <w:vAlign w:val="center"/>
          </w:tcPr>
          <w:p w14:paraId="630B292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13.5-15分</w:t>
            </w:r>
          </w:p>
        </w:tc>
      </w:tr>
      <w:tr w14:paraId="5B4C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2728" w:type="dxa"/>
            <w:vMerge w:val="continue"/>
            <w:shd w:val="clear" w:color="auto" w:fill="auto"/>
            <w:vAlign w:val="center"/>
          </w:tcPr>
          <w:p w14:paraId="5B83899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60D491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EAB1246">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5AAC91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F06AF3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2、无任何召回方面的文件和实施记录的</w:t>
            </w:r>
          </w:p>
        </w:tc>
        <w:tc>
          <w:tcPr>
            <w:tcW w:w="1009" w:type="dxa"/>
            <w:shd w:val="clear" w:color="auto" w:fill="auto"/>
            <w:vAlign w:val="center"/>
          </w:tcPr>
          <w:p w14:paraId="262840C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12-13.5分</w:t>
            </w:r>
          </w:p>
        </w:tc>
      </w:tr>
      <w:tr w14:paraId="7384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728" w:type="dxa"/>
            <w:vMerge w:val="continue"/>
            <w:shd w:val="clear" w:color="auto" w:fill="auto"/>
            <w:vAlign w:val="center"/>
          </w:tcPr>
          <w:p w14:paraId="662EF3A1">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DED2F1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55C732C1">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06B4B33">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16693C8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3、无任何召回方面的文件和实施记录的</w:t>
            </w:r>
          </w:p>
        </w:tc>
        <w:tc>
          <w:tcPr>
            <w:tcW w:w="1009" w:type="dxa"/>
            <w:shd w:val="clear" w:color="auto" w:fill="auto"/>
            <w:vAlign w:val="center"/>
          </w:tcPr>
          <w:p w14:paraId="77AB4A6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12分以下</w:t>
            </w:r>
          </w:p>
        </w:tc>
      </w:tr>
      <w:tr w14:paraId="1B7C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728" w:type="dxa"/>
            <w:vMerge w:val="restart"/>
            <w:shd w:val="clear" w:color="auto" w:fill="auto"/>
            <w:vAlign w:val="center"/>
          </w:tcPr>
          <w:p w14:paraId="71691E6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45</w:t>
            </w:r>
            <w:r>
              <w:rPr>
                <w:rFonts w:hint="eastAsia" w:ascii="宋体" w:hAnsi="宋体" w:eastAsia="宋体" w:cs="宋体"/>
                <w:b w:val="0"/>
                <w:bCs w:val="0"/>
                <w:i w:val="0"/>
                <w:iCs w:val="0"/>
                <w:color w:val="000000"/>
                <w:kern w:val="0"/>
                <w:sz w:val="18"/>
                <w:szCs w:val="18"/>
                <w:u w:val="none"/>
                <w:lang w:val="en-US" w:eastAsia="zh-CN" w:bidi="ar"/>
              </w:rPr>
              <w:t xml:space="preserve"> 在组织内建立鼓励创新的制度，包括：倡导创新的文化、对创新成果奖励等。（加分项）</w:t>
            </w:r>
          </w:p>
        </w:tc>
        <w:tc>
          <w:tcPr>
            <w:tcW w:w="977" w:type="dxa"/>
            <w:vMerge w:val="restart"/>
            <w:shd w:val="clear" w:color="auto" w:fill="auto"/>
            <w:vAlign w:val="center"/>
          </w:tcPr>
          <w:p w14:paraId="4074C16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0BF3E4A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创新管理制度</w:t>
            </w:r>
          </w:p>
        </w:tc>
        <w:tc>
          <w:tcPr>
            <w:tcW w:w="2769" w:type="dxa"/>
            <w:vMerge w:val="restart"/>
            <w:shd w:val="clear" w:color="auto" w:fill="auto"/>
            <w:vAlign w:val="center"/>
          </w:tcPr>
          <w:p w14:paraId="1B1B54B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3530937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1、建立创新制度</w:t>
            </w:r>
          </w:p>
        </w:tc>
        <w:tc>
          <w:tcPr>
            <w:tcW w:w="1009" w:type="dxa"/>
            <w:shd w:val="clear" w:color="auto" w:fill="auto"/>
            <w:vAlign w:val="center"/>
          </w:tcPr>
          <w:p w14:paraId="1439380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76B6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728" w:type="dxa"/>
            <w:vMerge w:val="continue"/>
            <w:shd w:val="clear" w:color="auto" w:fill="auto"/>
            <w:vAlign w:val="center"/>
          </w:tcPr>
          <w:p w14:paraId="370A511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4F0BBDF3">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6AA47F7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44F407E">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9D7DC2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2、未建立创新制度</w:t>
            </w:r>
          </w:p>
        </w:tc>
        <w:tc>
          <w:tcPr>
            <w:tcW w:w="1009" w:type="dxa"/>
            <w:shd w:val="clear" w:color="auto" w:fill="auto"/>
            <w:vAlign w:val="center"/>
          </w:tcPr>
          <w:p w14:paraId="73746BE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2BF7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728" w:type="dxa"/>
            <w:vMerge w:val="restart"/>
            <w:shd w:val="clear" w:color="auto" w:fill="auto"/>
            <w:vAlign w:val="center"/>
          </w:tcPr>
          <w:p w14:paraId="143847F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46</w:t>
            </w:r>
            <w:r>
              <w:rPr>
                <w:rFonts w:hint="eastAsia" w:ascii="宋体" w:hAnsi="宋体" w:eastAsia="宋体" w:cs="宋体"/>
                <w:b w:val="0"/>
                <w:bCs w:val="0"/>
                <w:i w:val="0"/>
                <w:iCs w:val="0"/>
                <w:color w:val="000000"/>
                <w:kern w:val="0"/>
                <w:sz w:val="18"/>
                <w:szCs w:val="18"/>
                <w:u w:val="none"/>
                <w:lang w:val="en-US" w:eastAsia="zh-CN" w:bidi="ar"/>
              </w:rPr>
              <w:t xml:space="preserve"> 建立品牌保护的制度，并在品牌树立和提升等方面取得成果。（加分项）</w:t>
            </w:r>
          </w:p>
        </w:tc>
        <w:tc>
          <w:tcPr>
            <w:tcW w:w="977" w:type="dxa"/>
            <w:vMerge w:val="restart"/>
            <w:shd w:val="clear" w:color="auto" w:fill="auto"/>
            <w:vAlign w:val="center"/>
          </w:tcPr>
          <w:p w14:paraId="4559175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42476B0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品牌保护、维权方面的证据</w:t>
            </w:r>
          </w:p>
        </w:tc>
        <w:tc>
          <w:tcPr>
            <w:tcW w:w="2769" w:type="dxa"/>
            <w:vMerge w:val="restart"/>
            <w:shd w:val="clear" w:color="auto" w:fill="auto"/>
            <w:vAlign w:val="center"/>
          </w:tcPr>
          <w:p w14:paraId="41CA5ED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w:t>
            </w:r>
          </w:p>
        </w:tc>
        <w:tc>
          <w:tcPr>
            <w:tcW w:w="3574" w:type="dxa"/>
            <w:shd w:val="clear" w:color="auto" w:fill="auto"/>
            <w:vAlign w:val="center"/>
          </w:tcPr>
          <w:p w14:paraId="31437C2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1、有品牌保护制度和措施</w:t>
            </w:r>
          </w:p>
        </w:tc>
        <w:tc>
          <w:tcPr>
            <w:tcW w:w="1009" w:type="dxa"/>
            <w:shd w:val="clear" w:color="auto" w:fill="auto"/>
            <w:vAlign w:val="center"/>
          </w:tcPr>
          <w:p w14:paraId="3CEC9DA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5AEE5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728" w:type="dxa"/>
            <w:vMerge w:val="continue"/>
            <w:shd w:val="clear" w:color="auto" w:fill="auto"/>
            <w:vAlign w:val="center"/>
          </w:tcPr>
          <w:p w14:paraId="223E23BD">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F5A38AE">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47DC59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5BA4661">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56469DC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2、没有品牌保护制度和措施</w:t>
            </w:r>
          </w:p>
        </w:tc>
        <w:tc>
          <w:tcPr>
            <w:tcW w:w="1009" w:type="dxa"/>
            <w:shd w:val="clear" w:color="auto" w:fill="auto"/>
            <w:vAlign w:val="center"/>
          </w:tcPr>
          <w:p w14:paraId="22640E5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6D8DE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restart"/>
            <w:shd w:val="clear" w:color="auto" w:fill="auto"/>
            <w:vAlign w:val="center"/>
          </w:tcPr>
          <w:p w14:paraId="282C8318">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47</w:t>
            </w:r>
            <w:r>
              <w:rPr>
                <w:rFonts w:hint="eastAsia" w:ascii="宋体" w:hAnsi="宋体" w:eastAsia="宋体" w:cs="宋体"/>
                <w:b w:val="0"/>
                <w:bCs w:val="0"/>
                <w:i w:val="0"/>
                <w:iCs w:val="0"/>
                <w:color w:val="000000"/>
                <w:kern w:val="0"/>
                <w:sz w:val="18"/>
                <w:szCs w:val="18"/>
                <w:u w:val="none"/>
                <w:lang w:val="en-US" w:eastAsia="zh-CN" w:bidi="ar"/>
              </w:rPr>
              <w:t xml:space="preserve"> 推动生产过程自动化，包括设备自动化、生产线自动化、仓储自动化等。（加分项）</w:t>
            </w:r>
          </w:p>
        </w:tc>
        <w:tc>
          <w:tcPr>
            <w:tcW w:w="977" w:type="dxa"/>
            <w:vMerge w:val="restart"/>
            <w:shd w:val="clear" w:color="auto" w:fill="auto"/>
            <w:vAlign w:val="center"/>
          </w:tcPr>
          <w:p w14:paraId="3B910FB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601" w:type="dxa"/>
            <w:vMerge w:val="restart"/>
            <w:shd w:val="clear" w:color="auto" w:fill="auto"/>
            <w:vAlign w:val="center"/>
          </w:tcPr>
          <w:p w14:paraId="6903757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现场巡视时确认，全自动生产线、自动化的工具（如机械手、机器人、集成化工作站、电动螺丝机、自动包装机等</w:t>
            </w:r>
          </w:p>
        </w:tc>
        <w:tc>
          <w:tcPr>
            <w:tcW w:w="2769" w:type="dxa"/>
            <w:vMerge w:val="restart"/>
            <w:shd w:val="clear" w:color="auto" w:fill="auto"/>
            <w:vAlign w:val="center"/>
          </w:tcPr>
          <w:p w14:paraId="35AADA3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32048C9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1、使用自动生产线、仓储自动化</w:t>
            </w:r>
          </w:p>
        </w:tc>
        <w:tc>
          <w:tcPr>
            <w:tcW w:w="1009" w:type="dxa"/>
            <w:shd w:val="clear" w:color="auto" w:fill="auto"/>
            <w:vAlign w:val="center"/>
          </w:tcPr>
          <w:p w14:paraId="072BECC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8-10分</w:t>
            </w:r>
          </w:p>
        </w:tc>
      </w:tr>
      <w:tr w14:paraId="4BBC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7FAEC767">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B11970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A6C7CEB">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72A9AC2">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4FF7AED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2、生产线上使用自动包装机、自动加工设备、机械手、自动螺丝机、激光裁床等</w:t>
            </w:r>
          </w:p>
        </w:tc>
        <w:tc>
          <w:tcPr>
            <w:tcW w:w="1009" w:type="dxa"/>
            <w:shd w:val="clear" w:color="auto" w:fill="auto"/>
            <w:vAlign w:val="center"/>
          </w:tcPr>
          <w:p w14:paraId="4C009D3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5-8分</w:t>
            </w:r>
          </w:p>
        </w:tc>
      </w:tr>
      <w:tr w14:paraId="4D99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728" w:type="dxa"/>
            <w:vMerge w:val="continue"/>
            <w:shd w:val="clear" w:color="auto" w:fill="auto"/>
            <w:vAlign w:val="center"/>
          </w:tcPr>
          <w:p w14:paraId="091A1569">
            <w:pPr>
              <w:jc w:val="both"/>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2A53C564">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28E1493">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336371F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311D417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3、没有使用的</w:t>
            </w:r>
          </w:p>
        </w:tc>
        <w:tc>
          <w:tcPr>
            <w:tcW w:w="1009" w:type="dxa"/>
            <w:shd w:val="clear" w:color="auto" w:fill="auto"/>
            <w:vAlign w:val="center"/>
          </w:tcPr>
          <w:p w14:paraId="705B35B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4C79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2728" w:type="dxa"/>
            <w:vMerge w:val="restart"/>
            <w:shd w:val="clear" w:color="auto" w:fill="auto"/>
            <w:vAlign w:val="center"/>
          </w:tcPr>
          <w:p w14:paraId="16B6754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48</w:t>
            </w:r>
            <w:r>
              <w:rPr>
                <w:rFonts w:hint="eastAsia" w:ascii="宋体" w:hAnsi="宋体" w:eastAsia="宋体" w:cs="宋体"/>
                <w:b w:val="0"/>
                <w:bCs w:val="0"/>
                <w:i w:val="0"/>
                <w:iCs w:val="0"/>
                <w:color w:val="000000"/>
                <w:kern w:val="0"/>
                <w:sz w:val="18"/>
                <w:szCs w:val="18"/>
                <w:u w:val="none"/>
                <w:lang w:val="en-US" w:eastAsia="zh-CN" w:bidi="ar"/>
              </w:rPr>
              <w:t xml:space="preserve"> 开展信息化管理活动，包括生产计划、工艺流程、质量控制等方面的信息化处理。（加分项）</w:t>
            </w:r>
          </w:p>
        </w:tc>
        <w:tc>
          <w:tcPr>
            <w:tcW w:w="977" w:type="dxa"/>
            <w:vMerge w:val="restart"/>
            <w:shd w:val="clear" w:color="auto" w:fill="auto"/>
            <w:vAlign w:val="center"/>
          </w:tcPr>
          <w:p w14:paraId="5BC1731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36AC450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使用信息管理系统应用的材料，ERP、MES、产品追溯系统</w:t>
            </w:r>
          </w:p>
        </w:tc>
        <w:tc>
          <w:tcPr>
            <w:tcW w:w="2769" w:type="dxa"/>
            <w:vMerge w:val="restart"/>
            <w:shd w:val="clear" w:color="auto" w:fill="auto"/>
            <w:vAlign w:val="center"/>
          </w:tcPr>
          <w:p w14:paraId="0A5E744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实地确认</w:t>
            </w:r>
          </w:p>
        </w:tc>
        <w:tc>
          <w:tcPr>
            <w:tcW w:w="3574" w:type="dxa"/>
            <w:shd w:val="clear" w:color="auto" w:fill="auto"/>
            <w:vAlign w:val="center"/>
          </w:tcPr>
          <w:p w14:paraId="639426C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1、使用ERP、MES等信息管理系统的</w:t>
            </w:r>
          </w:p>
        </w:tc>
        <w:tc>
          <w:tcPr>
            <w:tcW w:w="1009" w:type="dxa"/>
            <w:shd w:val="clear" w:color="auto" w:fill="auto"/>
            <w:vAlign w:val="center"/>
          </w:tcPr>
          <w:p w14:paraId="70E7A9F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7323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728" w:type="dxa"/>
            <w:vMerge w:val="continue"/>
            <w:shd w:val="clear" w:color="auto" w:fill="auto"/>
            <w:vAlign w:val="center"/>
          </w:tcPr>
          <w:p w14:paraId="12233B38">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672F70EF">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38B3939A">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59C99A6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0111445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2、没有使用信息管理系统的</w:t>
            </w:r>
          </w:p>
        </w:tc>
        <w:tc>
          <w:tcPr>
            <w:tcW w:w="1009" w:type="dxa"/>
            <w:shd w:val="clear" w:color="auto" w:fill="auto"/>
            <w:vAlign w:val="center"/>
          </w:tcPr>
          <w:p w14:paraId="5511B78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4AC7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28B327E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49</w:t>
            </w:r>
            <w:r>
              <w:rPr>
                <w:rFonts w:hint="eastAsia" w:ascii="宋体" w:hAnsi="宋体" w:eastAsia="宋体" w:cs="宋体"/>
                <w:b w:val="0"/>
                <w:bCs w:val="0"/>
                <w:i w:val="0"/>
                <w:iCs w:val="0"/>
                <w:color w:val="000000"/>
                <w:kern w:val="0"/>
                <w:sz w:val="18"/>
                <w:szCs w:val="18"/>
                <w:u w:val="none"/>
                <w:lang w:val="en-US" w:eastAsia="zh-CN" w:bidi="ar"/>
              </w:rPr>
              <w:t xml:space="preserve"> 采用能源循环利用措施，如利用余热余冷等。（加分项）</w:t>
            </w:r>
          </w:p>
        </w:tc>
        <w:tc>
          <w:tcPr>
            <w:tcW w:w="977" w:type="dxa"/>
            <w:vMerge w:val="restart"/>
            <w:shd w:val="clear" w:color="auto" w:fill="auto"/>
            <w:vAlign w:val="center"/>
          </w:tcPr>
          <w:p w14:paraId="3548B53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6F71B84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使用余热、余冷技术的应用材料</w:t>
            </w:r>
          </w:p>
        </w:tc>
        <w:tc>
          <w:tcPr>
            <w:tcW w:w="2769" w:type="dxa"/>
            <w:vMerge w:val="restart"/>
            <w:shd w:val="clear" w:color="auto" w:fill="auto"/>
            <w:vAlign w:val="center"/>
          </w:tcPr>
          <w:p w14:paraId="60A1BFF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3574" w:type="dxa"/>
            <w:shd w:val="clear" w:color="auto" w:fill="auto"/>
            <w:vAlign w:val="center"/>
          </w:tcPr>
          <w:p w14:paraId="3C53608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1、使用余热或余冷循环利用技术等能源循环利用措施的</w:t>
            </w:r>
          </w:p>
        </w:tc>
        <w:tc>
          <w:tcPr>
            <w:tcW w:w="1009" w:type="dxa"/>
            <w:shd w:val="clear" w:color="auto" w:fill="auto"/>
            <w:vAlign w:val="center"/>
          </w:tcPr>
          <w:p w14:paraId="32EF684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3391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continue"/>
            <w:shd w:val="clear" w:color="auto" w:fill="auto"/>
            <w:vAlign w:val="center"/>
          </w:tcPr>
          <w:p w14:paraId="01A48F3A">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B624311">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02BD8E09">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09E7C2B9">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3F0658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2、使用余热或余冷循环利用技术等能源循环利用措施的</w:t>
            </w:r>
          </w:p>
        </w:tc>
        <w:tc>
          <w:tcPr>
            <w:tcW w:w="1009" w:type="dxa"/>
            <w:shd w:val="clear" w:color="auto" w:fill="auto"/>
            <w:vAlign w:val="center"/>
          </w:tcPr>
          <w:p w14:paraId="4102E18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059B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trPr>
        <w:tc>
          <w:tcPr>
            <w:tcW w:w="2728" w:type="dxa"/>
            <w:vMerge w:val="restart"/>
            <w:shd w:val="clear" w:color="auto" w:fill="auto"/>
            <w:vAlign w:val="center"/>
          </w:tcPr>
          <w:p w14:paraId="08FB110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50</w:t>
            </w:r>
            <w:r>
              <w:rPr>
                <w:rFonts w:hint="eastAsia" w:ascii="宋体" w:hAnsi="宋体" w:eastAsia="宋体" w:cs="宋体"/>
                <w:b w:val="0"/>
                <w:bCs w:val="0"/>
                <w:i w:val="0"/>
                <w:iCs w:val="0"/>
                <w:color w:val="000000"/>
                <w:kern w:val="0"/>
                <w:sz w:val="18"/>
                <w:szCs w:val="18"/>
                <w:u w:val="none"/>
                <w:lang w:val="en-US" w:eastAsia="zh-CN" w:bidi="ar"/>
              </w:rPr>
              <w:t xml:space="preserve"> 有使用清洁能源的，如光伏发电等。（加分项）</w:t>
            </w:r>
          </w:p>
        </w:tc>
        <w:tc>
          <w:tcPr>
            <w:tcW w:w="977" w:type="dxa"/>
            <w:vMerge w:val="restart"/>
            <w:shd w:val="clear" w:color="auto" w:fill="auto"/>
            <w:vAlign w:val="center"/>
          </w:tcPr>
          <w:p w14:paraId="1255120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48A94C1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使用光伏等清洁能源应用的材料</w:t>
            </w:r>
          </w:p>
        </w:tc>
        <w:tc>
          <w:tcPr>
            <w:tcW w:w="2769" w:type="dxa"/>
            <w:vMerge w:val="restart"/>
            <w:shd w:val="clear" w:color="auto" w:fill="auto"/>
            <w:vAlign w:val="center"/>
          </w:tcPr>
          <w:p w14:paraId="60B4807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3574" w:type="dxa"/>
            <w:shd w:val="clear" w:color="auto" w:fill="auto"/>
            <w:vAlign w:val="center"/>
          </w:tcPr>
          <w:p w14:paraId="5F499C7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使用光伏等清洁能源的</w:t>
            </w:r>
          </w:p>
        </w:tc>
        <w:tc>
          <w:tcPr>
            <w:tcW w:w="1009" w:type="dxa"/>
            <w:shd w:val="clear" w:color="auto" w:fill="auto"/>
            <w:vAlign w:val="center"/>
          </w:tcPr>
          <w:p w14:paraId="4EA2CB4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5584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2728" w:type="dxa"/>
            <w:vMerge w:val="continue"/>
            <w:shd w:val="clear" w:color="auto" w:fill="auto"/>
            <w:vAlign w:val="center"/>
          </w:tcPr>
          <w:p w14:paraId="488E23ED">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52E87275">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4E1B09ED">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1FC9048C">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0BF34AD">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未使用清洁能源的</w:t>
            </w:r>
          </w:p>
        </w:tc>
        <w:tc>
          <w:tcPr>
            <w:tcW w:w="1009" w:type="dxa"/>
            <w:shd w:val="clear" w:color="auto" w:fill="auto"/>
            <w:vAlign w:val="center"/>
          </w:tcPr>
          <w:p w14:paraId="1E53CC0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077B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2728" w:type="dxa"/>
            <w:vMerge w:val="restart"/>
            <w:shd w:val="clear" w:color="auto" w:fill="auto"/>
            <w:vAlign w:val="center"/>
          </w:tcPr>
          <w:p w14:paraId="6B32A20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51</w:t>
            </w:r>
            <w:r>
              <w:rPr>
                <w:rFonts w:hint="eastAsia" w:ascii="宋体" w:hAnsi="宋体" w:eastAsia="宋体" w:cs="宋体"/>
                <w:b w:val="0"/>
                <w:bCs w:val="0"/>
                <w:i w:val="0"/>
                <w:iCs w:val="0"/>
                <w:color w:val="000000"/>
                <w:kern w:val="0"/>
                <w:sz w:val="18"/>
                <w:szCs w:val="18"/>
                <w:u w:val="none"/>
                <w:lang w:val="en-US" w:eastAsia="zh-CN" w:bidi="ar"/>
              </w:rPr>
              <w:t xml:space="preserve"> 有提效降能设备改造计划并实施的。（加分项）</w:t>
            </w:r>
          </w:p>
        </w:tc>
        <w:tc>
          <w:tcPr>
            <w:tcW w:w="977" w:type="dxa"/>
            <w:vMerge w:val="restart"/>
            <w:shd w:val="clear" w:color="auto" w:fill="auto"/>
            <w:vAlign w:val="center"/>
          </w:tcPr>
          <w:p w14:paraId="1555282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601" w:type="dxa"/>
            <w:vMerge w:val="restart"/>
            <w:shd w:val="clear" w:color="auto" w:fill="auto"/>
            <w:vAlign w:val="center"/>
          </w:tcPr>
          <w:p w14:paraId="4226B34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节电、节水技术的应用材料</w:t>
            </w:r>
          </w:p>
        </w:tc>
        <w:tc>
          <w:tcPr>
            <w:tcW w:w="2769" w:type="dxa"/>
            <w:vMerge w:val="restart"/>
            <w:shd w:val="clear" w:color="auto" w:fill="auto"/>
            <w:vAlign w:val="center"/>
          </w:tcPr>
          <w:p w14:paraId="389B412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现场资料评审+实地确认</w:t>
            </w:r>
          </w:p>
        </w:tc>
        <w:tc>
          <w:tcPr>
            <w:tcW w:w="3574" w:type="dxa"/>
            <w:shd w:val="clear" w:color="auto" w:fill="auto"/>
            <w:vAlign w:val="center"/>
          </w:tcPr>
          <w:p w14:paraId="2ACAF7DC">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有节水、节电等提效降能设备或改造计划措施的</w:t>
            </w:r>
          </w:p>
        </w:tc>
        <w:tc>
          <w:tcPr>
            <w:tcW w:w="1009" w:type="dxa"/>
            <w:shd w:val="clear" w:color="auto" w:fill="auto"/>
            <w:vAlign w:val="center"/>
          </w:tcPr>
          <w:p w14:paraId="428269B1">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5分</w:t>
            </w:r>
          </w:p>
        </w:tc>
      </w:tr>
      <w:tr w14:paraId="1C50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2728" w:type="dxa"/>
            <w:vMerge w:val="continue"/>
            <w:shd w:val="clear" w:color="auto" w:fill="auto"/>
            <w:vAlign w:val="center"/>
          </w:tcPr>
          <w:p w14:paraId="5A22DEBE">
            <w:pPr>
              <w:jc w:val="left"/>
              <w:rPr>
                <w:rFonts w:hint="eastAsia" w:ascii="宋体" w:hAnsi="宋体" w:eastAsia="宋体" w:cs="宋体"/>
                <w:b w:val="0"/>
                <w:bCs w:val="0"/>
                <w:i w:val="0"/>
                <w:iCs w:val="0"/>
                <w:color w:val="000000"/>
                <w:sz w:val="18"/>
                <w:szCs w:val="18"/>
                <w:u w:val="none"/>
              </w:rPr>
            </w:pPr>
          </w:p>
        </w:tc>
        <w:tc>
          <w:tcPr>
            <w:tcW w:w="977" w:type="dxa"/>
            <w:vMerge w:val="continue"/>
            <w:shd w:val="clear" w:color="auto" w:fill="auto"/>
            <w:vAlign w:val="center"/>
          </w:tcPr>
          <w:p w14:paraId="300E5D27">
            <w:pPr>
              <w:jc w:val="center"/>
              <w:rPr>
                <w:rFonts w:hint="eastAsia" w:ascii="宋体" w:hAnsi="宋体" w:eastAsia="宋体" w:cs="宋体"/>
                <w:b w:val="0"/>
                <w:bCs w:val="0"/>
                <w:i w:val="0"/>
                <w:iCs w:val="0"/>
                <w:color w:val="000000"/>
                <w:sz w:val="18"/>
                <w:szCs w:val="18"/>
                <w:u w:val="none"/>
              </w:rPr>
            </w:pPr>
          </w:p>
        </w:tc>
        <w:tc>
          <w:tcPr>
            <w:tcW w:w="3601" w:type="dxa"/>
            <w:vMerge w:val="continue"/>
            <w:shd w:val="clear" w:color="auto" w:fill="auto"/>
            <w:vAlign w:val="center"/>
          </w:tcPr>
          <w:p w14:paraId="7E156EB3">
            <w:pPr>
              <w:jc w:val="left"/>
              <w:rPr>
                <w:rFonts w:hint="eastAsia" w:ascii="宋体" w:hAnsi="宋体" w:eastAsia="宋体" w:cs="宋体"/>
                <w:b w:val="0"/>
                <w:bCs w:val="0"/>
                <w:i w:val="0"/>
                <w:iCs w:val="0"/>
                <w:color w:val="000000"/>
                <w:sz w:val="18"/>
                <w:szCs w:val="18"/>
                <w:u w:val="none"/>
              </w:rPr>
            </w:pPr>
          </w:p>
        </w:tc>
        <w:tc>
          <w:tcPr>
            <w:tcW w:w="2769" w:type="dxa"/>
            <w:vMerge w:val="continue"/>
            <w:shd w:val="clear" w:color="auto" w:fill="auto"/>
            <w:vAlign w:val="center"/>
          </w:tcPr>
          <w:p w14:paraId="2CCEE7CB">
            <w:pPr>
              <w:jc w:val="left"/>
              <w:rPr>
                <w:rFonts w:hint="eastAsia" w:ascii="宋体" w:hAnsi="宋体" w:eastAsia="宋体" w:cs="宋体"/>
                <w:b w:val="0"/>
                <w:bCs w:val="0"/>
                <w:i w:val="0"/>
                <w:iCs w:val="0"/>
                <w:color w:val="000000"/>
                <w:sz w:val="18"/>
                <w:szCs w:val="18"/>
                <w:u w:val="none"/>
              </w:rPr>
            </w:pPr>
          </w:p>
        </w:tc>
        <w:tc>
          <w:tcPr>
            <w:tcW w:w="3574" w:type="dxa"/>
            <w:shd w:val="clear" w:color="auto" w:fill="auto"/>
            <w:vAlign w:val="center"/>
          </w:tcPr>
          <w:p w14:paraId="6C4B322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没有有节水、节电等提效降能设备或改造计划措施的</w:t>
            </w:r>
          </w:p>
        </w:tc>
        <w:tc>
          <w:tcPr>
            <w:tcW w:w="1009" w:type="dxa"/>
            <w:shd w:val="clear" w:color="auto" w:fill="auto"/>
            <w:vAlign w:val="center"/>
          </w:tcPr>
          <w:p w14:paraId="28144D3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0分</w:t>
            </w:r>
          </w:p>
        </w:tc>
      </w:tr>
      <w:tr w14:paraId="2A30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728" w:type="dxa"/>
            <w:shd w:val="clear" w:color="auto" w:fill="auto"/>
            <w:vAlign w:val="center"/>
          </w:tcPr>
          <w:p w14:paraId="06C549C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合计得分</w:t>
            </w:r>
          </w:p>
        </w:tc>
        <w:tc>
          <w:tcPr>
            <w:tcW w:w="11930" w:type="dxa"/>
            <w:gridSpan w:val="5"/>
            <w:shd w:val="clear" w:color="auto" w:fill="auto"/>
            <w:vAlign w:val="center"/>
          </w:tcPr>
          <w:p w14:paraId="5A0884F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705</w:t>
            </w:r>
          </w:p>
        </w:tc>
      </w:tr>
      <w:tr w14:paraId="5169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4658" w:type="dxa"/>
            <w:gridSpan w:val="6"/>
            <w:shd w:val="clear" w:color="auto" w:fill="auto"/>
            <w:noWrap/>
            <w:vAlign w:val="center"/>
          </w:tcPr>
          <w:p w14:paraId="23F4F93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备注：企业可通过电脑系统调取电子版资料、记录等供评审组查阅，不再提供对应的纸质材料，应在相关指标证明材料清单后做出说明。</w:t>
            </w:r>
          </w:p>
        </w:tc>
      </w:tr>
    </w:tbl>
    <w:p w14:paraId="47B5CE25">
      <w:pPr>
        <w:pStyle w:val="60"/>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firstLine="0"/>
        <w:jc w:val="center"/>
        <w:textAlignment w:val="auto"/>
        <w:rPr>
          <w:rFonts w:hint="default" w:ascii="黑体" w:hAnsi="黑体" w:eastAsia="黑体" w:cs="黑体"/>
          <w:color w:val="auto"/>
          <w:lang w:val="en-US" w:eastAsia="zh-CN"/>
        </w:rPr>
      </w:pPr>
    </w:p>
    <w:p w14:paraId="1C9E9A36">
      <w:pPr>
        <w:pStyle w:val="126"/>
        <w:framePr w:wrap="around"/>
        <w:rPr>
          <w:color w:val="auto"/>
        </w:rPr>
      </w:pPr>
      <w:r>
        <w:rPr>
          <w:rFonts w:hint="eastAsia"/>
          <w:color w:val="auto"/>
        </w:rPr>
        <w:t xml:space="preserve">    </w:t>
      </w:r>
      <w:r>
        <w:rPr>
          <w:color w:val="auto"/>
        </w:rPr>
        <w:t>_________________________________</w:t>
      </w:r>
    </w:p>
    <w:sectPr>
      <w:type w:val="continuous"/>
      <w:pgSz w:w="16838" w:h="11906" w:orient="landscape"/>
      <w:pgMar w:top="1418" w:right="567" w:bottom="1134" w:left="1134"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F33C9">
    <w:pPr>
      <w:pStyle w:val="40"/>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C8E1">
    <w:pPr>
      <w:pStyle w:val="41"/>
      <w:rPr>
        <w:rFonts w:hint="eastAsia" w:eastAsia="黑体"/>
        <w:lang w:eastAsia="zh-CN"/>
      </w:rPr>
    </w:pPr>
    <w:r>
      <w:rPr>
        <w:rFonts w:hint="eastAsia"/>
        <w:lang w:val="en-US" w:eastAsia="zh-CN"/>
      </w:rPr>
      <w:t>DB4419</w:t>
    </w:r>
    <w:r>
      <w:t>/</w:t>
    </w:r>
    <w:r>
      <w:rPr>
        <w:rFonts w:hint="eastAsia"/>
        <w:lang w:val="en-US" w:eastAsia="zh-CN"/>
      </w:rPr>
      <w:t>T</w:t>
    </w:r>
    <w:r>
      <w:t xml:space="preserve"> </w:t>
    </w:r>
    <w:r>
      <w:rPr>
        <w:rFonts w:hint="eastAsia"/>
        <w:lang w:val="en-US" w:eastAsia="zh-CN"/>
      </w:rPr>
      <w:t>XX</w:t>
    </w:r>
    <w:r>
      <w:rPr>
        <w:rFonts w:hint="eastAsia" w:ascii="宋体" w:hAnsi="宋体" w:eastAsia="宋体" w:cs="宋体"/>
      </w:rPr>
      <w:t>—</w:t>
    </w:r>
    <w:r>
      <w:rPr>
        <w:rFonts w:hint="eastAsia"/>
      </w:rPr>
      <w:t>202</w:t>
    </w:r>
    <w:r>
      <w:rPr>
        <w:rFonts w:hint="eastAsia"/>
        <w:lang w:val="en-US" w:eastAsia="zh-CN"/>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3"/>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0" w:firstLine="0"/>
      </w:pPr>
      <w:rPr>
        <w:rFonts w:hint="eastAsia" w:ascii="黑体" w:hAnsi="Times New Roman" w:eastAsia="黑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5"/>
      <w:suff w:val="nothing"/>
      <w:lvlText w:val="%1——"/>
      <w:lvlJc w:val="left"/>
      <w:pPr>
        <w:ind w:left="833" w:hanging="408"/>
      </w:pPr>
      <w:rPr>
        <w:rFonts w:hint="eastAsia"/>
      </w:rPr>
    </w:lvl>
    <w:lvl w:ilvl="1" w:tentative="0">
      <w:start w:val="1"/>
      <w:numFmt w:val="bullet"/>
      <w:pStyle w:val="46"/>
      <w:lvlText w:val=""/>
      <w:lvlJc w:val="left"/>
      <w:pPr>
        <w:tabs>
          <w:tab w:val="left" w:pos="760"/>
        </w:tabs>
        <w:ind w:left="1264" w:hanging="413"/>
      </w:pPr>
      <w:rPr>
        <w:rFonts w:hint="default" w:ascii="Symbol" w:hAnsi="Symbol"/>
        <w:color w:val="auto"/>
      </w:rPr>
    </w:lvl>
    <w:lvl w:ilvl="2" w:tentative="0">
      <w:start w:val="1"/>
      <w:numFmt w:val="bullet"/>
      <w:pStyle w:val="5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B733A5F"/>
    <w:multiLevelType w:val="multilevel"/>
    <w:tmpl w:val="4B733A5F"/>
    <w:lvl w:ilvl="0" w:tentative="0">
      <w:start w:val="1"/>
      <w:numFmt w:val="decimal"/>
      <w:pStyle w:val="5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9">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0B55DC2"/>
    <w:multiLevelType w:val="multilevel"/>
    <w:tmpl w:val="60B55DC2"/>
    <w:lvl w:ilvl="0" w:tentative="0">
      <w:start w:val="1"/>
      <w:numFmt w:val="upperLetter"/>
      <w:pStyle w:val="83"/>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0C645B3"/>
    <w:multiLevelType w:val="multilevel"/>
    <w:tmpl w:val="60C645B3"/>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1"/>
      <w:lvlText w:val="%2)"/>
      <w:lvlJc w:val="left"/>
      <w:pPr>
        <w:tabs>
          <w:tab w:val="left" w:pos="1260"/>
        </w:tabs>
        <w:ind w:left="1259" w:hanging="419"/>
      </w:pPr>
      <w:rPr>
        <w:rFonts w:hint="eastAsia"/>
      </w:rPr>
    </w:lvl>
    <w:lvl w:ilvl="2" w:tentative="0">
      <w:start w:val="1"/>
      <w:numFmt w:val="decimal"/>
      <w:pStyle w:val="5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8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0"/>
      <w:suff w:val="nothing"/>
      <w:lvlText w:val="%1.%2.%3　"/>
      <w:lvlJc w:val="left"/>
      <w:pPr>
        <w:ind w:left="0" w:firstLine="0"/>
      </w:pPr>
      <w:rPr>
        <w:rFonts w:hint="eastAsia" w:ascii="黑体" w:hAnsi="Times New Roman" w:eastAsia="黑体"/>
        <w:b w:val="0"/>
        <w:i w:val="0"/>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D6C07CD"/>
    <w:multiLevelType w:val="multilevel"/>
    <w:tmpl w:val="6D6C07CD"/>
    <w:lvl w:ilvl="0" w:tentative="0">
      <w:start w:val="1"/>
      <w:numFmt w:val="lowerLetter"/>
      <w:pStyle w:val="102"/>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tentative="0">
      <w:start w:val="1"/>
      <w:numFmt w:val="none"/>
      <w:pStyle w:val="5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6">
    <w:nsid w:val="7760749B"/>
    <w:multiLevelType w:val="multilevel"/>
    <w:tmpl w:val="7760749B"/>
    <w:lvl w:ilvl="0" w:tentative="0">
      <w:start w:val="1"/>
      <w:numFmt w:val="decimal"/>
      <w:pStyle w:val="62"/>
      <w:suff w:val="nothing"/>
      <w:lvlText w:val="注%1："/>
      <w:lvlJc w:val="left"/>
      <w:pPr>
        <w:ind w:left="811" w:hanging="448"/>
      </w:pPr>
      <w:rPr>
        <w:rFonts w:hAnsi="黑体" w:eastAsia="黑体"/>
        <w:b w:val="0"/>
        <w:i w:val="0"/>
        <w:sz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num w:numId="1">
    <w:abstractNumId w:val="7"/>
  </w:num>
  <w:num w:numId="2">
    <w:abstractNumId w:val="4"/>
  </w:num>
  <w:num w:numId="3">
    <w:abstractNumId w:val="6"/>
  </w:num>
  <w:num w:numId="4">
    <w:abstractNumId w:val="2"/>
  </w:num>
  <w:num w:numId="5">
    <w:abstractNumId w:val="11"/>
  </w:num>
  <w:num w:numId="6">
    <w:abstractNumId w:val="15"/>
  </w:num>
  <w:num w:numId="7">
    <w:abstractNumId w:val="0"/>
  </w:num>
  <w:num w:numId="8">
    <w:abstractNumId w:val="8"/>
  </w:num>
  <w:num w:numId="9">
    <w:abstractNumId w:val="16"/>
  </w:num>
  <w:num w:numId="10">
    <w:abstractNumId w:val="13"/>
  </w:num>
  <w:num w:numId="11">
    <w:abstractNumId w:val="10"/>
  </w:num>
  <w:num w:numId="12">
    <w:abstractNumId w:val="14"/>
  </w:num>
  <w:num w:numId="13">
    <w:abstractNumId w:val="5"/>
  </w:num>
  <w:num w:numId="14">
    <w:abstractNumId w:val="1"/>
  </w:num>
  <w:num w:numId="15">
    <w:abstractNumId w:val="3"/>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Tc0Y2EyNThiYTlhMmY4ODlkYWZmNTMzY2UyMWUifQ=="/>
  </w:docVars>
  <w:rsids>
    <w:rsidRoot w:val="5BEC375B"/>
    <w:rsid w:val="00000244"/>
    <w:rsid w:val="0000185F"/>
    <w:rsid w:val="0000586F"/>
    <w:rsid w:val="00013D86"/>
    <w:rsid w:val="00013E02"/>
    <w:rsid w:val="0002143C"/>
    <w:rsid w:val="00025A65"/>
    <w:rsid w:val="00026C31"/>
    <w:rsid w:val="00027280"/>
    <w:rsid w:val="00027321"/>
    <w:rsid w:val="000320A7"/>
    <w:rsid w:val="00034E5D"/>
    <w:rsid w:val="00035925"/>
    <w:rsid w:val="00067CDF"/>
    <w:rsid w:val="00072763"/>
    <w:rsid w:val="00074FBE"/>
    <w:rsid w:val="00083A09"/>
    <w:rsid w:val="00083E6A"/>
    <w:rsid w:val="0009005E"/>
    <w:rsid w:val="00092857"/>
    <w:rsid w:val="0009420B"/>
    <w:rsid w:val="000A20A9"/>
    <w:rsid w:val="000A3132"/>
    <w:rsid w:val="000A48B1"/>
    <w:rsid w:val="000B3143"/>
    <w:rsid w:val="000C6B05"/>
    <w:rsid w:val="000C6DD6"/>
    <w:rsid w:val="000C73D4"/>
    <w:rsid w:val="000D3D4C"/>
    <w:rsid w:val="000D3D8A"/>
    <w:rsid w:val="000D4F51"/>
    <w:rsid w:val="000D718B"/>
    <w:rsid w:val="000E0C46"/>
    <w:rsid w:val="000E31EC"/>
    <w:rsid w:val="000F030C"/>
    <w:rsid w:val="000F129C"/>
    <w:rsid w:val="000F4BD7"/>
    <w:rsid w:val="001056DE"/>
    <w:rsid w:val="001124C0"/>
    <w:rsid w:val="00124454"/>
    <w:rsid w:val="0013175F"/>
    <w:rsid w:val="001512B4"/>
    <w:rsid w:val="001544B1"/>
    <w:rsid w:val="00161376"/>
    <w:rsid w:val="001620A5"/>
    <w:rsid w:val="00164E53"/>
    <w:rsid w:val="0016699D"/>
    <w:rsid w:val="00175159"/>
    <w:rsid w:val="00176208"/>
    <w:rsid w:val="0018211B"/>
    <w:rsid w:val="001840D3"/>
    <w:rsid w:val="001900F8"/>
    <w:rsid w:val="00191258"/>
    <w:rsid w:val="00192680"/>
    <w:rsid w:val="00193037"/>
    <w:rsid w:val="00193A2C"/>
    <w:rsid w:val="00197E1A"/>
    <w:rsid w:val="001A2840"/>
    <w:rsid w:val="001A288E"/>
    <w:rsid w:val="001B5A4E"/>
    <w:rsid w:val="001B6DC2"/>
    <w:rsid w:val="001C149C"/>
    <w:rsid w:val="001C21AC"/>
    <w:rsid w:val="001C47BA"/>
    <w:rsid w:val="001C59EA"/>
    <w:rsid w:val="001D406C"/>
    <w:rsid w:val="001D41EE"/>
    <w:rsid w:val="001D4D7A"/>
    <w:rsid w:val="001E0380"/>
    <w:rsid w:val="001E13B1"/>
    <w:rsid w:val="001E33EA"/>
    <w:rsid w:val="001E4D45"/>
    <w:rsid w:val="001F3A19"/>
    <w:rsid w:val="00224203"/>
    <w:rsid w:val="00234467"/>
    <w:rsid w:val="002373F4"/>
    <w:rsid w:val="00237D8D"/>
    <w:rsid w:val="00241DA2"/>
    <w:rsid w:val="00247FEE"/>
    <w:rsid w:val="00250E7D"/>
    <w:rsid w:val="002565D5"/>
    <w:rsid w:val="002622C0"/>
    <w:rsid w:val="002778AE"/>
    <w:rsid w:val="00280EBA"/>
    <w:rsid w:val="00281AF8"/>
    <w:rsid w:val="0028269A"/>
    <w:rsid w:val="00283590"/>
    <w:rsid w:val="00286973"/>
    <w:rsid w:val="00292D2B"/>
    <w:rsid w:val="00294E70"/>
    <w:rsid w:val="002A1924"/>
    <w:rsid w:val="002A4957"/>
    <w:rsid w:val="002A7420"/>
    <w:rsid w:val="002A77D0"/>
    <w:rsid w:val="002B0F12"/>
    <w:rsid w:val="002B1308"/>
    <w:rsid w:val="002B4554"/>
    <w:rsid w:val="002C68DC"/>
    <w:rsid w:val="002C72D8"/>
    <w:rsid w:val="002D11FA"/>
    <w:rsid w:val="002E0DDF"/>
    <w:rsid w:val="002E2906"/>
    <w:rsid w:val="002E5635"/>
    <w:rsid w:val="002E64C3"/>
    <w:rsid w:val="002E6A2C"/>
    <w:rsid w:val="002F1D8C"/>
    <w:rsid w:val="002F21DA"/>
    <w:rsid w:val="002F5718"/>
    <w:rsid w:val="00301E10"/>
    <w:rsid w:val="00301F39"/>
    <w:rsid w:val="00317141"/>
    <w:rsid w:val="00325926"/>
    <w:rsid w:val="00327A8A"/>
    <w:rsid w:val="00336610"/>
    <w:rsid w:val="0034121F"/>
    <w:rsid w:val="00343F73"/>
    <w:rsid w:val="00345060"/>
    <w:rsid w:val="0035323B"/>
    <w:rsid w:val="003609D2"/>
    <w:rsid w:val="00361689"/>
    <w:rsid w:val="00363F22"/>
    <w:rsid w:val="00374855"/>
    <w:rsid w:val="00375564"/>
    <w:rsid w:val="00381063"/>
    <w:rsid w:val="00383191"/>
    <w:rsid w:val="003860D2"/>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01A0"/>
    <w:rsid w:val="003F4EE0"/>
    <w:rsid w:val="00402153"/>
    <w:rsid w:val="00402FC1"/>
    <w:rsid w:val="00425082"/>
    <w:rsid w:val="00431DEB"/>
    <w:rsid w:val="00446B29"/>
    <w:rsid w:val="00453F9A"/>
    <w:rsid w:val="00471E91"/>
    <w:rsid w:val="00474675"/>
    <w:rsid w:val="0047470C"/>
    <w:rsid w:val="00485B09"/>
    <w:rsid w:val="004A318F"/>
    <w:rsid w:val="004A35F9"/>
    <w:rsid w:val="004B24C1"/>
    <w:rsid w:val="004C292F"/>
    <w:rsid w:val="00505638"/>
    <w:rsid w:val="00510280"/>
    <w:rsid w:val="00513D73"/>
    <w:rsid w:val="00514A43"/>
    <w:rsid w:val="00514F6D"/>
    <w:rsid w:val="005174E5"/>
    <w:rsid w:val="00521B05"/>
    <w:rsid w:val="00522393"/>
    <w:rsid w:val="00522620"/>
    <w:rsid w:val="00522FA3"/>
    <w:rsid w:val="00525656"/>
    <w:rsid w:val="005317BE"/>
    <w:rsid w:val="00534C02"/>
    <w:rsid w:val="0054264B"/>
    <w:rsid w:val="00543786"/>
    <w:rsid w:val="005533D7"/>
    <w:rsid w:val="00562EC0"/>
    <w:rsid w:val="005703DE"/>
    <w:rsid w:val="0058464E"/>
    <w:rsid w:val="0058475D"/>
    <w:rsid w:val="005937B1"/>
    <w:rsid w:val="005A01CB"/>
    <w:rsid w:val="005A2088"/>
    <w:rsid w:val="005A58FF"/>
    <w:rsid w:val="005A5EAF"/>
    <w:rsid w:val="005A64C0"/>
    <w:rsid w:val="005B1ABB"/>
    <w:rsid w:val="005B3C11"/>
    <w:rsid w:val="005C1C28"/>
    <w:rsid w:val="005C6DB5"/>
    <w:rsid w:val="005E19E7"/>
    <w:rsid w:val="0061716C"/>
    <w:rsid w:val="006243A1"/>
    <w:rsid w:val="0063269F"/>
    <w:rsid w:val="00632E56"/>
    <w:rsid w:val="00635CBA"/>
    <w:rsid w:val="0064338B"/>
    <w:rsid w:val="00646542"/>
    <w:rsid w:val="006472E6"/>
    <w:rsid w:val="006504F4"/>
    <w:rsid w:val="00654BC9"/>
    <w:rsid w:val="006552FD"/>
    <w:rsid w:val="00663AF3"/>
    <w:rsid w:val="00666B6C"/>
    <w:rsid w:val="00682682"/>
    <w:rsid w:val="00682702"/>
    <w:rsid w:val="006864A9"/>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3EB7"/>
    <w:rsid w:val="006F6177"/>
    <w:rsid w:val="00704DF6"/>
    <w:rsid w:val="0070651C"/>
    <w:rsid w:val="007132A3"/>
    <w:rsid w:val="00716421"/>
    <w:rsid w:val="00724EFB"/>
    <w:rsid w:val="007371CA"/>
    <w:rsid w:val="007419C3"/>
    <w:rsid w:val="007467A7"/>
    <w:rsid w:val="007469DD"/>
    <w:rsid w:val="0074741B"/>
    <w:rsid w:val="0074759E"/>
    <w:rsid w:val="007478EA"/>
    <w:rsid w:val="0075415C"/>
    <w:rsid w:val="00763502"/>
    <w:rsid w:val="00770317"/>
    <w:rsid w:val="0077555A"/>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19E4"/>
    <w:rsid w:val="0080654C"/>
    <w:rsid w:val="008071C6"/>
    <w:rsid w:val="00812FE8"/>
    <w:rsid w:val="008155C9"/>
    <w:rsid w:val="00817A00"/>
    <w:rsid w:val="008302E5"/>
    <w:rsid w:val="00835DB3"/>
    <w:rsid w:val="0083617B"/>
    <w:rsid w:val="008371BD"/>
    <w:rsid w:val="00843240"/>
    <w:rsid w:val="00843EB5"/>
    <w:rsid w:val="008504A8"/>
    <w:rsid w:val="0085282E"/>
    <w:rsid w:val="0087198C"/>
    <w:rsid w:val="00872C1F"/>
    <w:rsid w:val="00873B42"/>
    <w:rsid w:val="008856D8"/>
    <w:rsid w:val="00892E82"/>
    <w:rsid w:val="008C1B58"/>
    <w:rsid w:val="008C39AE"/>
    <w:rsid w:val="008C590D"/>
    <w:rsid w:val="008E031B"/>
    <w:rsid w:val="008E04A6"/>
    <w:rsid w:val="008E7029"/>
    <w:rsid w:val="008E7EF6"/>
    <w:rsid w:val="008F1F98"/>
    <w:rsid w:val="008F6758"/>
    <w:rsid w:val="009040DD"/>
    <w:rsid w:val="00905B47"/>
    <w:rsid w:val="0091331C"/>
    <w:rsid w:val="009279DE"/>
    <w:rsid w:val="00930116"/>
    <w:rsid w:val="0094212C"/>
    <w:rsid w:val="00942954"/>
    <w:rsid w:val="00954689"/>
    <w:rsid w:val="009617C9"/>
    <w:rsid w:val="00961C93"/>
    <w:rsid w:val="00965324"/>
    <w:rsid w:val="0097091E"/>
    <w:rsid w:val="009760D3"/>
    <w:rsid w:val="00977132"/>
    <w:rsid w:val="00981A4B"/>
    <w:rsid w:val="00982501"/>
    <w:rsid w:val="009877D3"/>
    <w:rsid w:val="00994E8F"/>
    <w:rsid w:val="009951DC"/>
    <w:rsid w:val="009959BB"/>
    <w:rsid w:val="0099630E"/>
    <w:rsid w:val="00997158"/>
    <w:rsid w:val="009A3A7C"/>
    <w:rsid w:val="009B2ADB"/>
    <w:rsid w:val="009B3039"/>
    <w:rsid w:val="009B603A"/>
    <w:rsid w:val="009C2D0E"/>
    <w:rsid w:val="009C3DAC"/>
    <w:rsid w:val="009C42E0"/>
    <w:rsid w:val="009D517C"/>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910A6"/>
    <w:rsid w:val="00AA038C"/>
    <w:rsid w:val="00AA7A09"/>
    <w:rsid w:val="00AB3B50"/>
    <w:rsid w:val="00AC05B1"/>
    <w:rsid w:val="00AD356C"/>
    <w:rsid w:val="00AE0E7E"/>
    <w:rsid w:val="00AE2914"/>
    <w:rsid w:val="00AE6D15"/>
    <w:rsid w:val="00AF1D32"/>
    <w:rsid w:val="00B04182"/>
    <w:rsid w:val="00B07AE3"/>
    <w:rsid w:val="00B11430"/>
    <w:rsid w:val="00B353EB"/>
    <w:rsid w:val="00B439C4"/>
    <w:rsid w:val="00B43CA5"/>
    <w:rsid w:val="00B4535E"/>
    <w:rsid w:val="00B52A8C"/>
    <w:rsid w:val="00B535AB"/>
    <w:rsid w:val="00B60FDA"/>
    <w:rsid w:val="00B636A8"/>
    <w:rsid w:val="00B665C6"/>
    <w:rsid w:val="00B741E0"/>
    <w:rsid w:val="00B749EC"/>
    <w:rsid w:val="00B805AF"/>
    <w:rsid w:val="00B869EC"/>
    <w:rsid w:val="00B9397A"/>
    <w:rsid w:val="00B9633D"/>
    <w:rsid w:val="00BA2EBE"/>
    <w:rsid w:val="00BB0F28"/>
    <w:rsid w:val="00BB458A"/>
    <w:rsid w:val="00BD00D3"/>
    <w:rsid w:val="00BD1659"/>
    <w:rsid w:val="00BD3AA9"/>
    <w:rsid w:val="00BD4A18"/>
    <w:rsid w:val="00BD6DB2"/>
    <w:rsid w:val="00BE11CF"/>
    <w:rsid w:val="00BE1463"/>
    <w:rsid w:val="00BE21AB"/>
    <w:rsid w:val="00BE55CB"/>
    <w:rsid w:val="00BF617A"/>
    <w:rsid w:val="00C0379D"/>
    <w:rsid w:val="00C03931"/>
    <w:rsid w:val="00C05FE3"/>
    <w:rsid w:val="00C2136D"/>
    <w:rsid w:val="00C214EE"/>
    <w:rsid w:val="00C2204C"/>
    <w:rsid w:val="00C2314B"/>
    <w:rsid w:val="00C24971"/>
    <w:rsid w:val="00C26BE5"/>
    <w:rsid w:val="00C26E4D"/>
    <w:rsid w:val="00C27909"/>
    <w:rsid w:val="00C27B03"/>
    <w:rsid w:val="00C306E5"/>
    <w:rsid w:val="00C30732"/>
    <w:rsid w:val="00C314E1"/>
    <w:rsid w:val="00C34397"/>
    <w:rsid w:val="00C4095D"/>
    <w:rsid w:val="00C431D9"/>
    <w:rsid w:val="00C46107"/>
    <w:rsid w:val="00C601D2"/>
    <w:rsid w:val="00C657AB"/>
    <w:rsid w:val="00C65BCC"/>
    <w:rsid w:val="00C66970"/>
    <w:rsid w:val="00C8691C"/>
    <w:rsid w:val="00C87B77"/>
    <w:rsid w:val="00CA168A"/>
    <w:rsid w:val="00CA357E"/>
    <w:rsid w:val="00CA44F9"/>
    <w:rsid w:val="00CA4A69"/>
    <w:rsid w:val="00CB29AA"/>
    <w:rsid w:val="00CC3E0C"/>
    <w:rsid w:val="00CC58D3"/>
    <w:rsid w:val="00CC784D"/>
    <w:rsid w:val="00CE4260"/>
    <w:rsid w:val="00D02C19"/>
    <w:rsid w:val="00D0337B"/>
    <w:rsid w:val="00D079B2"/>
    <w:rsid w:val="00D114E9"/>
    <w:rsid w:val="00D429C6"/>
    <w:rsid w:val="00D47748"/>
    <w:rsid w:val="00D47B43"/>
    <w:rsid w:val="00D52638"/>
    <w:rsid w:val="00D54CC3"/>
    <w:rsid w:val="00D6041A"/>
    <w:rsid w:val="00D633EB"/>
    <w:rsid w:val="00D71A65"/>
    <w:rsid w:val="00D82FF7"/>
    <w:rsid w:val="00D847FE"/>
    <w:rsid w:val="00D879C8"/>
    <w:rsid w:val="00D92BFD"/>
    <w:rsid w:val="00D964EA"/>
    <w:rsid w:val="00D966D0"/>
    <w:rsid w:val="00DA0C59"/>
    <w:rsid w:val="00DA3991"/>
    <w:rsid w:val="00DA69E1"/>
    <w:rsid w:val="00DB7E6C"/>
    <w:rsid w:val="00DD5A29"/>
    <w:rsid w:val="00DD5D9D"/>
    <w:rsid w:val="00DE35CB"/>
    <w:rsid w:val="00DF21E9"/>
    <w:rsid w:val="00E00F14"/>
    <w:rsid w:val="00E061DE"/>
    <w:rsid w:val="00E06386"/>
    <w:rsid w:val="00E16095"/>
    <w:rsid w:val="00E24EB4"/>
    <w:rsid w:val="00E320ED"/>
    <w:rsid w:val="00E33AFB"/>
    <w:rsid w:val="00E34218"/>
    <w:rsid w:val="00E44FF2"/>
    <w:rsid w:val="00E46282"/>
    <w:rsid w:val="00E5177C"/>
    <w:rsid w:val="00E5216E"/>
    <w:rsid w:val="00E7299F"/>
    <w:rsid w:val="00E82344"/>
    <w:rsid w:val="00E84C82"/>
    <w:rsid w:val="00E84D64"/>
    <w:rsid w:val="00E87408"/>
    <w:rsid w:val="00E914C4"/>
    <w:rsid w:val="00E934F5"/>
    <w:rsid w:val="00E96961"/>
    <w:rsid w:val="00E97089"/>
    <w:rsid w:val="00EA4C05"/>
    <w:rsid w:val="00EA72EC"/>
    <w:rsid w:val="00EB11CB"/>
    <w:rsid w:val="00EB275A"/>
    <w:rsid w:val="00EB786A"/>
    <w:rsid w:val="00EC1578"/>
    <w:rsid w:val="00EC1C72"/>
    <w:rsid w:val="00EC3CC9"/>
    <w:rsid w:val="00EC680A"/>
    <w:rsid w:val="00ED4F3E"/>
    <w:rsid w:val="00EE2BED"/>
    <w:rsid w:val="00EE374B"/>
    <w:rsid w:val="00EE7647"/>
    <w:rsid w:val="00EF0F7A"/>
    <w:rsid w:val="00F01450"/>
    <w:rsid w:val="00F11BB5"/>
    <w:rsid w:val="00F1417B"/>
    <w:rsid w:val="00F24EB0"/>
    <w:rsid w:val="00F34B99"/>
    <w:rsid w:val="00F46C6E"/>
    <w:rsid w:val="00F52DAB"/>
    <w:rsid w:val="00F543F0"/>
    <w:rsid w:val="00F56C67"/>
    <w:rsid w:val="00F616E8"/>
    <w:rsid w:val="00F61B02"/>
    <w:rsid w:val="00F76DC3"/>
    <w:rsid w:val="00F81D29"/>
    <w:rsid w:val="00F91C4D"/>
    <w:rsid w:val="00F92692"/>
    <w:rsid w:val="00F92FD9"/>
    <w:rsid w:val="00F934CF"/>
    <w:rsid w:val="00FA6684"/>
    <w:rsid w:val="00FA731E"/>
    <w:rsid w:val="00FB2B38"/>
    <w:rsid w:val="00FB7F27"/>
    <w:rsid w:val="00FC6358"/>
    <w:rsid w:val="00FD172D"/>
    <w:rsid w:val="00FD320D"/>
    <w:rsid w:val="00FE23DE"/>
    <w:rsid w:val="01B75BE1"/>
    <w:rsid w:val="04E35A1E"/>
    <w:rsid w:val="05D7137C"/>
    <w:rsid w:val="05DB353B"/>
    <w:rsid w:val="08965477"/>
    <w:rsid w:val="093A315F"/>
    <w:rsid w:val="0B1D561F"/>
    <w:rsid w:val="0C696FC1"/>
    <w:rsid w:val="142D25D1"/>
    <w:rsid w:val="150D2218"/>
    <w:rsid w:val="17336B01"/>
    <w:rsid w:val="176F11A3"/>
    <w:rsid w:val="18682D4D"/>
    <w:rsid w:val="1DCF707B"/>
    <w:rsid w:val="1F9B5EE6"/>
    <w:rsid w:val="20DC7532"/>
    <w:rsid w:val="217C1B04"/>
    <w:rsid w:val="2C6A7322"/>
    <w:rsid w:val="2C712FE0"/>
    <w:rsid w:val="2C855108"/>
    <w:rsid w:val="2C922EEA"/>
    <w:rsid w:val="2F99263B"/>
    <w:rsid w:val="36985DB9"/>
    <w:rsid w:val="39A93AB3"/>
    <w:rsid w:val="42496853"/>
    <w:rsid w:val="42791C54"/>
    <w:rsid w:val="428270C4"/>
    <w:rsid w:val="440924CB"/>
    <w:rsid w:val="49BB2729"/>
    <w:rsid w:val="4B8E08C3"/>
    <w:rsid w:val="4C60393C"/>
    <w:rsid w:val="4F321D80"/>
    <w:rsid w:val="594F07AA"/>
    <w:rsid w:val="5B9C6858"/>
    <w:rsid w:val="5BEC375B"/>
    <w:rsid w:val="5FAD7A42"/>
    <w:rsid w:val="608749BD"/>
    <w:rsid w:val="61297300"/>
    <w:rsid w:val="65E621D9"/>
    <w:rsid w:val="6B270921"/>
    <w:rsid w:val="6BDD3C18"/>
    <w:rsid w:val="6FE60FA5"/>
    <w:rsid w:val="741B2C62"/>
    <w:rsid w:val="74E97204"/>
    <w:rsid w:val="75A831F5"/>
    <w:rsid w:val="76EF5F37"/>
    <w:rsid w:val="79580151"/>
    <w:rsid w:val="7A9D492F"/>
    <w:rsid w:val="7F9B3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4">
    <w:name w:val="index 8"/>
    <w:basedOn w:val="1"/>
    <w:next w:val="1"/>
    <w:autoRedefine/>
    <w:qFormat/>
    <w:uiPriority w:val="0"/>
    <w:pPr>
      <w:ind w:left="1680" w:hanging="210"/>
      <w:jc w:val="left"/>
    </w:pPr>
    <w:rPr>
      <w:rFonts w:ascii="Calibri" w:hAnsi="Calibri"/>
      <w:sz w:val="20"/>
      <w:szCs w:val="20"/>
    </w:rPr>
  </w:style>
  <w:style w:type="paragraph" w:styleId="5">
    <w:name w:val="caption"/>
    <w:basedOn w:val="1"/>
    <w:next w:val="1"/>
    <w:autoRedefine/>
    <w:qFormat/>
    <w:uiPriority w:val="0"/>
    <w:pPr>
      <w:spacing w:before="152" w:after="160"/>
    </w:pPr>
    <w:rPr>
      <w:rFonts w:ascii="Arial" w:hAnsi="Arial" w:eastAsia="黑体" w:cs="Arial"/>
      <w:sz w:val="20"/>
      <w:szCs w:val="20"/>
    </w:rPr>
  </w:style>
  <w:style w:type="paragraph" w:styleId="6">
    <w:name w:val="index 5"/>
    <w:basedOn w:val="1"/>
    <w:next w:val="1"/>
    <w:autoRedefine/>
    <w:qFormat/>
    <w:uiPriority w:val="0"/>
    <w:pPr>
      <w:ind w:left="1050" w:hanging="210"/>
      <w:jc w:val="left"/>
    </w:pPr>
    <w:rPr>
      <w:rFonts w:ascii="Calibri" w:hAnsi="Calibri"/>
      <w:sz w:val="20"/>
      <w:szCs w:val="20"/>
    </w:rPr>
  </w:style>
  <w:style w:type="paragraph" w:styleId="7">
    <w:name w:val="Document Map"/>
    <w:basedOn w:val="1"/>
    <w:autoRedefine/>
    <w:semiHidden/>
    <w:qFormat/>
    <w:uiPriority w:val="0"/>
    <w:pPr>
      <w:shd w:val="clear" w:color="auto" w:fill="000080"/>
    </w:pPr>
  </w:style>
  <w:style w:type="paragraph" w:styleId="8">
    <w:name w:val="index 6"/>
    <w:basedOn w:val="1"/>
    <w:next w:val="1"/>
    <w:autoRedefine/>
    <w:qFormat/>
    <w:uiPriority w:val="0"/>
    <w:pPr>
      <w:ind w:left="1260" w:hanging="210"/>
      <w:jc w:val="left"/>
    </w:pPr>
    <w:rPr>
      <w:rFonts w:ascii="Calibri" w:hAnsi="Calibri"/>
      <w:sz w:val="20"/>
      <w:szCs w:val="20"/>
    </w:rPr>
  </w:style>
  <w:style w:type="paragraph" w:styleId="9">
    <w:name w:val="index 4"/>
    <w:basedOn w:val="1"/>
    <w:next w:val="1"/>
    <w:autoRedefine/>
    <w:qFormat/>
    <w:uiPriority w:val="0"/>
    <w:pPr>
      <w:ind w:left="840" w:hanging="210"/>
      <w:jc w:val="left"/>
    </w:pPr>
    <w:rPr>
      <w:rFonts w:ascii="Calibri" w:hAnsi="Calibri"/>
      <w:sz w:val="20"/>
      <w:szCs w:val="20"/>
    </w:rPr>
  </w:style>
  <w:style w:type="paragraph" w:styleId="10">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1">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2">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3">
    <w:name w:val="index 3"/>
    <w:basedOn w:val="1"/>
    <w:next w:val="1"/>
    <w:autoRedefine/>
    <w:qFormat/>
    <w:uiPriority w:val="0"/>
    <w:pPr>
      <w:ind w:left="630" w:hanging="210"/>
      <w:jc w:val="left"/>
    </w:pPr>
    <w:rPr>
      <w:rFonts w:ascii="Calibri" w:hAnsi="Calibri"/>
      <w:sz w:val="20"/>
      <w:szCs w:val="20"/>
    </w:rPr>
  </w:style>
  <w:style w:type="paragraph" w:styleId="14">
    <w:name w:val="endnote text"/>
    <w:basedOn w:val="1"/>
    <w:autoRedefine/>
    <w:semiHidden/>
    <w:qFormat/>
    <w:uiPriority w:val="0"/>
    <w:pPr>
      <w:snapToGrid w:val="0"/>
      <w:jc w:val="left"/>
    </w:pPr>
  </w:style>
  <w:style w:type="paragraph" w:styleId="15">
    <w:name w:val="Balloon Text"/>
    <w:basedOn w:val="1"/>
    <w:link w:val="134"/>
    <w:autoRedefine/>
    <w:qFormat/>
    <w:uiPriority w:val="0"/>
    <w:rPr>
      <w:sz w:val="18"/>
      <w:szCs w:val="18"/>
    </w:rPr>
  </w:style>
  <w:style w:type="paragraph" w:styleId="16">
    <w:name w:val="footer"/>
    <w:basedOn w:val="1"/>
    <w:autoRedefine/>
    <w:qFormat/>
    <w:uiPriority w:val="0"/>
    <w:pPr>
      <w:snapToGrid w:val="0"/>
      <w:ind w:right="210" w:rightChars="100"/>
      <w:jc w:val="right"/>
    </w:pPr>
    <w:rPr>
      <w:sz w:val="18"/>
      <w:szCs w:val="18"/>
    </w:rPr>
  </w:style>
  <w:style w:type="paragraph" w:styleId="17">
    <w:name w:val="header"/>
    <w:basedOn w:val="1"/>
    <w:autoRedefine/>
    <w:qFormat/>
    <w:uiPriority w:val="0"/>
    <w:pPr>
      <w:snapToGrid w:val="0"/>
      <w:jc w:val="left"/>
    </w:pPr>
    <w:rPr>
      <w:sz w:val="18"/>
      <w:szCs w:val="18"/>
    </w:rPr>
  </w:style>
  <w:style w:type="paragraph" w:styleId="18">
    <w:name w:val="toc 1"/>
    <w:basedOn w:val="1"/>
    <w:next w:val="1"/>
    <w:autoRedefine/>
    <w:semiHidden/>
    <w:qFormat/>
    <w:uiPriority w:val="0"/>
    <w:pPr>
      <w:tabs>
        <w:tab w:val="right" w:leader="dot" w:pos="9242"/>
      </w:tabs>
      <w:spacing w:beforeLines="25" w:afterLines="25"/>
      <w:jc w:val="left"/>
    </w:pPr>
    <w:rPr>
      <w:rFonts w:ascii="宋体"/>
      <w:szCs w:val="21"/>
    </w:rPr>
  </w:style>
  <w:style w:type="paragraph" w:styleId="19">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autoRedefine/>
    <w:qFormat/>
    <w:uiPriority w:val="0"/>
    <w:pPr>
      <w:spacing w:before="120" w:after="120"/>
      <w:jc w:val="center"/>
    </w:pPr>
    <w:rPr>
      <w:rFonts w:ascii="Calibri" w:hAnsi="Calibri"/>
      <w:b/>
      <w:bCs/>
      <w:iCs/>
      <w:szCs w:val="20"/>
    </w:rPr>
  </w:style>
  <w:style w:type="paragraph" w:styleId="21">
    <w:name w:val="index 1"/>
    <w:basedOn w:val="1"/>
    <w:next w:val="22"/>
    <w:autoRedefine/>
    <w:qFormat/>
    <w:uiPriority w:val="0"/>
    <w:pPr>
      <w:tabs>
        <w:tab w:val="right" w:leader="dot" w:pos="9299"/>
      </w:tabs>
      <w:jc w:val="left"/>
    </w:pPr>
    <w:rPr>
      <w:rFonts w:ascii="宋体"/>
      <w:szCs w:val="21"/>
    </w:rPr>
  </w:style>
  <w:style w:type="paragraph" w:customStyle="1" w:styleId="22">
    <w:name w:val="段"/>
    <w:link w:val="38"/>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autoRedefine/>
    <w:qFormat/>
    <w:uiPriority w:val="0"/>
    <w:pPr>
      <w:numPr>
        <w:ilvl w:val="0"/>
        <w:numId w:val="1"/>
      </w:numPr>
      <w:snapToGrid w:val="0"/>
      <w:jc w:val="left"/>
    </w:pPr>
    <w:rPr>
      <w:rFonts w:ascii="宋体"/>
      <w:sz w:val="18"/>
      <w:szCs w:val="18"/>
    </w:rPr>
  </w:style>
  <w:style w:type="paragraph" w:styleId="24">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5">
    <w:name w:val="index 7"/>
    <w:basedOn w:val="1"/>
    <w:next w:val="1"/>
    <w:autoRedefine/>
    <w:qFormat/>
    <w:uiPriority w:val="0"/>
    <w:pPr>
      <w:ind w:left="1470" w:hanging="210"/>
      <w:jc w:val="left"/>
    </w:pPr>
    <w:rPr>
      <w:rFonts w:ascii="Calibri" w:hAnsi="Calibri"/>
      <w:sz w:val="20"/>
      <w:szCs w:val="20"/>
    </w:rPr>
  </w:style>
  <w:style w:type="paragraph" w:styleId="26">
    <w:name w:val="index 9"/>
    <w:basedOn w:val="1"/>
    <w:next w:val="1"/>
    <w:autoRedefine/>
    <w:qFormat/>
    <w:uiPriority w:val="0"/>
    <w:pPr>
      <w:ind w:left="1890" w:hanging="210"/>
      <w:jc w:val="left"/>
    </w:pPr>
    <w:rPr>
      <w:rFonts w:ascii="Calibri" w:hAnsi="Calibri"/>
      <w:sz w:val="20"/>
      <w:szCs w:val="20"/>
    </w:rPr>
  </w:style>
  <w:style w:type="paragraph" w:styleId="27">
    <w:name w:val="toc 2"/>
    <w:basedOn w:val="1"/>
    <w:next w:val="1"/>
    <w:autoRedefine/>
    <w:semiHidden/>
    <w:qFormat/>
    <w:uiPriority w:val="0"/>
    <w:pPr>
      <w:tabs>
        <w:tab w:val="right" w:leader="dot" w:pos="9242"/>
      </w:tabs>
    </w:pPr>
    <w:rPr>
      <w:rFonts w:ascii="宋体"/>
      <w:szCs w:val="21"/>
    </w:rPr>
  </w:style>
  <w:style w:type="paragraph" w:styleId="28">
    <w:name w:val="toc 9"/>
    <w:basedOn w:val="1"/>
    <w:next w:val="1"/>
    <w:autoRedefine/>
    <w:semiHidden/>
    <w:qFormat/>
    <w:uiPriority w:val="0"/>
    <w:pPr>
      <w:ind w:left="1470"/>
      <w:jc w:val="left"/>
    </w:pPr>
    <w:rPr>
      <w:sz w:val="20"/>
      <w:szCs w:val="20"/>
    </w:rPr>
  </w:style>
  <w:style w:type="paragraph" w:styleId="29">
    <w:name w:val="index 2"/>
    <w:basedOn w:val="1"/>
    <w:next w:val="1"/>
    <w:autoRedefine/>
    <w:qFormat/>
    <w:uiPriority w:val="0"/>
    <w:pPr>
      <w:ind w:left="420" w:hanging="210"/>
      <w:jc w:val="left"/>
    </w:pPr>
    <w:rPr>
      <w:rFonts w:ascii="Calibri" w:hAnsi="Calibri"/>
      <w:sz w:val="20"/>
      <w:szCs w:val="20"/>
    </w:rPr>
  </w:style>
  <w:style w:type="table" w:styleId="31">
    <w:name w:val="Table Grid"/>
    <w:basedOn w:val="30"/>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endnote reference"/>
    <w:basedOn w:val="32"/>
    <w:autoRedefine/>
    <w:semiHidden/>
    <w:qFormat/>
    <w:uiPriority w:val="0"/>
    <w:rPr>
      <w:vertAlign w:val="superscript"/>
    </w:rPr>
  </w:style>
  <w:style w:type="character" w:styleId="34">
    <w:name w:val="page number"/>
    <w:basedOn w:val="32"/>
    <w:autoRedefine/>
    <w:qFormat/>
    <w:uiPriority w:val="0"/>
    <w:rPr>
      <w:rFonts w:ascii="Times New Roman" w:hAnsi="Times New Roman" w:eastAsia="宋体"/>
      <w:sz w:val="18"/>
    </w:rPr>
  </w:style>
  <w:style w:type="character" w:styleId="35">
    <w:name w:val="FollowedHyperlink"/>
    <w:basedOn w:val="32"/>
    <w:autoRedefine/>
    <w:qFormat/>
    <w:uiPriority w:val="0"/>
    <w:rPr>
      <w:color w:val="800080"/>
      <w:u w:val="single"/>
    </w:rPr>
  </w:style>
  <w:style w:type="character" w:styleId="36">
    <w:name w:val="Hyperlink"/>
    <w:basedOn w:val="32"/>
    <w:autoRedefine/>
    <w:qFormat/>
    <w:uiPriority w:val="0"/>
    <w:rPr>
      <w:color w:val="0000FF"/>
      <w:spacing w:val="0"/>
      <w:w w:val="100"/>
      <w:szCs w:val="21"/>
      <w:u w:val="single"/>
    </w:rPr>
  </w:style>
  <w:style w:type="character" w:styleId="37">
    <w:name w:val="footnote reference"/>
    <w:basedOn w:val="32"/>
    <w:autoRedefine/>
    <w:semiHidden/>
    <w:qFormat/>
    <w:uiPriority w:val="0"/>
    <w:rPr>
      <w:vertAlign w:val="superscript"/>
    </w:rPr>
  </w:style>
  <w:style w:type="character" w:customStyle="1" w:styleId="38">
    <w:name w:val="段 Char"/>
    <w:basedOn w:val="32"/>
    <w:link w:val="22"/>
    <w:autoRedefine/>
    <w:qFormat/>
    <w:uiPriority w:val="0"/>
    <w:rPr>
      <w:rFonts w:ascii="宋体"/>
      <w:sz w:val="21"/>
      <w:lang w:val="en-US" w:eastAsia="zh-CN" w:bidi="ar-SA"/>
    </w:rPr>
  </w:style>
  <w:style w:type="paragraph" w:customStyle="1" w:styleId="39">
    <w:name w:val="一级条标题"/>
    <w:next w:val="22"/>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1">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章标题"/>
    <w:next w:val="22"/>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二级条标题"/>
    <w:basedOn w:val="39"/>
    <w:next w:val="22"/>
    <w:autoRedefine/>
    <w:qFormat/>
    <w:uiPriority w:val="0"/>
    <w:pPr>
      <w:numPr>
        <w:ilvl w:val="2"/>
      </w:numPr>
      <w:spacing w:before="50" w:after="50"/>
      <w:outlineLvl w:val="3"/>
    </w:pPr>
  </w:style>
  <w:style w:type="paragraph" w:customStyle="1" w:styleId="44">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5">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6">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7">
    <w:name w:val="目次、标准名称标题"/>
    <w:basedOn w:val="1"/>
    <w:next w:val="22"/>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三级条标题"/>
    <w:basedOn w:val="43"/>
    <w:next w:val="22"/>
    <w:autoRedefine/>
    <w:qFormat/>
    <w:uiPriority w:val="0"/>
    <w:pPr>
      <w:numPr>
        <w:ilvl w:val="3"/>
      </w:numPr>
      <w:outlineLvl w:val="4"/>
    </w:pPr>
  </w:style>
  <w:style w:type="paragraph" w:customStyle="1" w:styleId="49">
    <w:name w:val="示例"/>
    <w:next w:val="50"/>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0">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1">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2">
    <w:name w:val="四级条标题"/>
    <w:basedOn w:val="48"/>
    <w:next w:val="22"/>
    <w:autoRedefine/>
    <w:qFormat/>
    <w:uiPriority w:val="0"/>
    <w:pPr>
      <w:numPr>
        <w:ilvl w:val="4"/>
      </w:numPr>
      <w:outlineLvl w:val="5"/>
    </w:pPr>
  </w:style>
  <w:style w:type="paragraph" w:customStyle="1" w:styleId="53">
    <w:name w:val="五级条标题"/>
    <w:basedOn w:val="52"/>
    <w:next w:val="22"/>
    <w:autoRedefine/>
    <w:qFormat/>
    <w:uiPriority w:val="0"/>
    <w:pPr>
      <w:numPr>
        <w:ilvl w:val="5"/>
      </w:numPr>
      <w:outlineLvl w:val="6"/>
    </w:pPr>
  </w:style>
  <w:style w:type="paragraph" w:customStyle="1" w:styleId="54">
    <w:name w:val="注："/>
    <w:next w:val="22"/>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5">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6">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7">
    <w:name w:val="列项◆（三级）"/>
    <w:basedOn w:val="1"/>
    <w:autoRedefine/>
    <w:qFormat/>
    <w:uiPriority w:val="0"/>
    <w:pPr>
      <w:numPr>
        <w:ilvl w:val="2"/>
        <w:numId w:val="3"/>
      </w:numPr>
    </w:pPr>
    <w:rPr>
      <w:rFonts w:ascii="宋体"/>
      <w:szCs w:val="21"/>
    </w:rPr>
  </w:style>
  <w:style w:type="paragraph" w:customStyle="1" w:styleId="58">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59">
    <w:name w:val="示例×："/>
    <w:basedOn w:val="42"/>
    <w:autoRedefine/>
    <w:qFormat/>
    <w:uiPriority w:val="0"/>
    <w:pPr>
      <w:numPr>
        <w:numId w:val="8"/>
      </w:numPr>
      <w:spacing w:beforeLines="0" w:afterLines="0"/>
      <w:outlineLvl w:val="9"/>
    </w:pPr>
    <w:rPr>
      <w:rFonts w:ascii="宋体" w:eastAsia="宋体"/>
      <w:sz w:val="18"/>
      <w:szCs w:val="18"/>
    </w:rPr>
  </w:style>
  <w:style w:type="paragraph" w:customStyle="1" w:styleId="60">
    <w:name w:val="二级无"/>
    <w:basedOn w:val="43"/>
    <w:autoRedefine/>
    <w:qFormat/>
    <w:uiPriority w:val="0"/>
    <w:pPr>
      <w:spacing w:beforeLines="0" w:afterLines="0"/>
    </w:pPr>
    <w:rPr>
      <w:rFonts w:ascii="宋体" w:eastAsia="宋体"/>
    </w:rPr>
  </w:style>
  <w:style w:type="paragraph" w:customStyle="1" w:styleId="61">
    <w:name w:val="注：（正文）"/>
    <w:basedOn w:val="54"/>
    <w:next w:val="22"/>
    <w:autoRedefine/>
    <w:qFormat/>
    <w:uiPriority w:val="0"/>
  </w:style>
  <w:style w:type="paragraph" w:customStyle="1" w:styleId="62">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3">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4">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5">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6">
    <w:name w:val="标准书眉_偶数页"/>
    <w:basedOn w:val="41"/>
    <w:next w:val="1"/>
    <w:autoRedefine/>
    <w:qFormat/>
    <w:uiPriority w:val="0"/>
    <w:pPr>
      <w:jc w:val="left"/>
    </w:pPr>
  </w:style>
  <w:style w:type="paragraph" w:customStyle="1" w:styleId="67">
    <w:name w:val="标准书眉一"/>
    <w:autoRedefine/>
    <w:qFormat/>
    <w:uiPriority w:val="0"/>
    <w:pPr>
      <w:jc w:val="both"/>
    </w:pPr>
    <w:rPr>
      <w:rFonts w:ascii="Times New Roman" w:hAnsi="Times New Roman" w:eastAsia="宋体" w:cs="Times New Roman"/>
      <w:lang w:val="en-US" w:eastAsia="zh-CN" w:bidi="ar-SA"/>
    </w:rPr>
  </w:style>
  <w:style w:type="paragraph" w:customStyle="1" w:styleId="68">
    <w:name w:val="参考文献"/>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9">
    <w:name w:val="参考文献、索引标题"/>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0">
    <w:name w:val="发布"/>
    <w:basedOn w:val="32"/>
    <w:autoRedefine/>
    <w:qFormat/>
    <w:uiPriority w:val="0"/>
    <w:rPr>
      <w:rFonts w:ascii="黑体" w:eastAsia="黑体"/>
      <w:spacing w:val="85"/>
      <w:w w:val="100"/>
      <w:position w:val="3"/>
      <w:sz w:val="28"/>
      <w:szCs w:val="28"/>
    </w:rPr>
  </w:style>
  <w:style w:type="paragraph" w:customStyle="1" w:styleId="71">
    <w:name w:val="发布部门"/>
    <w:next w:val="22"/>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4">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5">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封面标准英文名称"/>
    <w:basedOn w:val="75"/>
    <w:autoRedefine/>
    <w:qFormat/>
    <w:uiPriority w:val="0"/>
    <w:pPr>
      <w:framePr w:wrap="around"/>
      <w:spacing w:before="370" w:line="400" w:lineRule="exact"/>
    </w:pPr>
    <w:rPr>
      <w:rFonts w:ascii="Times New Roman"/>
      <w:sz w:val="28"/>
      <w:szCs w:val="28"/>
    </w:rPr>
  </w:style>
  <w:style w:type="paragraph" w:customStyle="1" w:styleId="77">
    <w:name w:val="封面一致性程度标识"/>
    <w:basedOn w:val="76"/>
    <w:autoRedefine/>
    <w:qFormat/>
    <w:uiPriority w:val="0"/>
    <w:pPr>
      <w:framePr w:wrap="around"/>
      <w:spacing w:before="440"/>
    </w:pPr>
    <w:rPr>
      <w:rFonts w:ascii="宋体" w:eastAsia="宋体"/>
    </w:rPr>
  </w:style>
  <w:style w:type="paragraph" w:customStyle="1" w:styleId="78">
    <w:name w:val="封面标准文稿类别"/>
    <w:basedOn w:val="77"/>
    <w:autoRedefine/>
    <w:qFormat/>
    <w:uiPriority w:val="0"/>
    <w:pPr>
      <w:framePr w:wrap="around"/>
      <w:spacing w:after="160" w:line="240" w:lineRule="auto"/>
    </w:pPr>
    <w:rPr>
      <w:sz w:val="24"/>
    </w:rPr>
  </w:style>
  <w:style w:type="paragraph" w:customStyle="1" w:styleId="79">
    <w:name w:val="封面标准文稿编辑信息"/>
    <w:basedOn w:val="78"/>
    <w:autoRedefine/>
    <w:qFormat/>
    <w:uiPriority w:val="0"/>
    <w:pPr>
      <w:framePr w:wrap="around"/>
      <w:spacing w:before="180" w:line="180" w:lineRule="exact"/>
    </w:pPr>
    <w:rPr>
      <w:sz w:val="21"/>
    </w:rPr>
  </w:style>
  <w:style w:type="paragraph" w:customStyle="1" w:styleId="80">
    <w:name w:val="封面正文"/>
    <w:autoRedefine/>
    <w:qFormat/>
    <w:uiPriority w:val="0"/>
    <w:pPr>
      <w:jc w:val="both"/>
    </w:pPr>
    <w:rPr>
      <w:rFonts w:ascii="Times New Roman" w:hAnsi="Times New Roman" w:eastAsia="宋体" w:cs="Times New Roman"/>
      <w:lang w:val="en-US" w:eastAsia="zh-CN" w:bidi="ar-SA"/>
    </w:rPr>
  </w:style>
  <w:style w:type="paragraph" w:customStyle="1" w:styleId="81">
    <w:name w:val="附录标识"/>
    <w:basedOn w:val="1"/>
    <w:next w:val="22"/>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2">
    <w:name w:val="附录标题"/>
    <w:basedOn w:val="22"/>
    <w:next w:val="22"/>
    <w:autoRedefine/>
    <w:qFormat/>
    <w:uiPriority w:val="0"/>
    <w:pPr>
      <w:ind w:firstLine="0" w:firstLineChars="0"/>
      <w:jc w:val="center"/>
    </w:pPr>
    <w:rPr>
      <w:rFonts w:ascii="黑体" w:eastAsia="黑体"/>
    </w:rPr>
  </w:style>
  <w:style w:type="paragraph" w:customStyle="1" w:styleId="83">
    <w:name w:val="附录表标号"/>
    <w:basedOn w:val="1"/>
    <w:next w:val="22"/>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4">
    <w:name w:val="附录表标题"/>
    <w:basedOn w:val="1"/>
    <w:next w:val="22"/>
    <w:autoRedefine/>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5">
    <w:name w:val="附录二级条标题"/>
    <w:basedOn w:val="1"/>
    <w:next w:val="22"/>
    <w:autoRedefine/>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6">
    <w:name w:val="附录二级无"/>
    <w:basedOn w:val="85"/>
    <w:autoRedefine/>
    <w:qFormat/>
    <w:uiPriority w:val="0"/>
    <w:pPr>
      <w:tabs>
        <w:tab w:val="clear" w:pos="360"/>
      </w:tabs>
      <w:spacing w:beforeLines="0" w:afterLines="0"/>
    </w:pPr>
    <w:rPr>
      <w:rFonts w:ascii="宋体" w:eastAsia="宋体"/>
      <w:szCs w:val="21"/>
    </w:rPr>
  </w:style>
  <w:style w:type="paragraph" w:customStyle="1" w:styleId="87">
    <w:name w:val="附录公式"/>
    <w:basedOn w:val="22"/>
    <w:next w:val="22"/>
    <w:link w:val="88"/>
    <w:autoRedefine/>
    <w:qFormat/>
    <w:uiPriority w:val="0"/>
  </w:style>
  <w:style w:type="character" w:customStyle="1" w:styleId="88">
    <w:name w:val="附录公式 Char"/>
    <w:basedOn w:val="38"/>
    <w:link w:val="87"/>
    <w:autoRedefine/>
    <w:qFormat/>
    <w:uiPriority w:val="0"/>
    <w:rPr>
      <w:rFonts w:ascii="宋体"/>
      <w:sz w:val="21"/>
      <w:lang w:val="en-US" w:eastAsia="zh-CN" w:bidi="ar-SA"/>
    </w:rPr>
  </w:style>
  <w:style w:type="paragraph" w:customStyle="1" w:styleId="89">
    <w:name w:val="附录公式编号制表符"/>
    <w:basedOn w:val="1"/>
    <w:next w:val="22"/>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0">
    <w:name w:val="附录三级条标题"/>
    <w:basedOn w:val="85"/>
    <w:next w:val="22"/>
    <w:autoRedefine/>
    <w:qFormat/>
    <w:uiPriority w:val="0"/>
    <w:pPr>
      <w:numPr>
        <w:ilvl w:val="4"/>
      </w:numPr>
      <w:outlineLvl w:val="4"/>
    </w:pPr>
  </w:style>
  <w:style w:type="paragraph" w:customStyle="1" w:styleId="91">
    <w:name w:val="附录三级无"/>
    <w:basedOn w:val="90"/>
    <w:autoRedefine/>
    <w:qFormat/>
    <w:uiPriority w:val="0"/>
    <w:pPr>
      <w:tabs>
        <w:tab w:val="clear" w:pos="360"/>
      </w:tabs>
      <w:spacing w:beforeLines="0" w:afterLines="0"/>
    </w:pPr>
    <w:rPr>
      <w:rFonts w:ascii="宋体" w:eastAsia="宋体"/>
      <w:szCs w:val="21"/>
    </w:rPr>
  </w:style>
  <w:style w:type="paragraph" w:customStyle="1" w:styleId="92">
    <w:name w:val="附录数字编号列项（二级）"/>
    <w:autoRedefine/>
    <w:qFormat/>
    <w:uiPriority w:val="0"/>
    <w:pPr>
      <w:numPr>
        <w:ilvl w:val="1"/>
        <w:numId w:val="12"/>
      </w:numPr>
    </w:pPr>
    <w:rPr>
      <w:rFonts w:ascii="宋体" w:hAnsi="Times New Roman" w:eastAsia="宋体" w:cs="Times New Roman"/>
      <w:sz w:val="21"/>
      <w:lang w:val="en-US" w:eastAsia="zh-CN" w:bidi="ar-SA"/>
    </w:rPr>
  </w:style>
  <w:style w:type="paragraph" w:customStyle="1" w:styleId="93">
    <w:name w:val="附录四级条标题"/>
    <w:basedOn w:val="90"/>
    <w:next w:val="22"/>
    <w:autoRedefine/>
    <w:qFormat/>
    <w:uiPriority w:val="0"/>
    <w:pPr>
      <w:numPr>
        <w:ilvl w:val="5"/>
      </w:numPr>
      <w:outlineLvl w:val="5"/>
    </w:pPr>
  </w:style>
  <w:style w:type="paragraph" w:customStyle="1" w:styleId="94">
    <w:name w:val="附录四级无"/>
    <w:basedOn w:val="93"/>
    <w:autoRedefine/>
    <w:qFormat/>
    <w:uiPriority w:val="0"/>
    <w:pPr>
      <w:tabs>
        <w:tab w:val="clear" w:pos="360"/>
      </w:tabs>
      <w:spacing w:beforeLines="0" w:afterLines="0"/>
    </w:pPr>
    <w:rPr>
      <w:rFonts w:ascii="宋体" w:eastAsia="宋体"/>
      <w:szCs w:val="21"/>
    </w:rPr>
  </w:style>
  <w:style w:type="paragraph" w:customStyle="1" w:styleId="95">
    <w:name w:val="附录图标号"/>
    <w:basedOn w:val="1"/>
    <w:autoRedefine/>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6">
    <w:name w:val="附录图标题"/>
    <w:basedOn w:val="1"/>
    <w:next w:val="22"/>
    <w:autoRedefine/>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7">
    <w:name w:val="附录五级条标题"/>
    <w:basedOn w:val="93"/>
    <w:next w:val="22"/>
    <w:autoRedefine/>
    <w:qFormat/>
    <w:uiPriority w:val="0"/>
    <w:pPr>
      <w:numPr>
        <w:ilvl w:val="6"/>
      </w:numPr>
      <w:outlineLvl w:val="6"/>
    </w:pPr>
  </w:style>
  <w:style w:type="paragraph" w:customStyle="1" w:styleId="98">
    <w:name w:val="附录五级无"/>
    <w:basedOn w:val="97"/>
    <w:autoRedefine/>
    <w:qFormat/>
    <w:uiPriority w:val="0"/>
    <w:pPr>
      <w:tabs>
        <w:tab w:val="clear" w:pos="360"/>
      </w:tabs>
      <w:spacing w:beforeLines="0" w:afterLines="0"/>
    </w:pPr>
    <w:rPr>
      <w:rFonts w:ascii="宋体" w:eastAsia="宋体"/>
      <w:szCs w:val="21"/>
    </w:rPr>
  </w:style>
  <w:style w:type="paragraph" w:customStyle="1" w:styleId="99">
    <w:name w:val="附录章标题"/>
    <w:next w:val="22"/>
    <w:autoRedefine/>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附录一级条标题"/>
    <w:basedOn w:val="99"/>
    <w:next w:val="22"/>
    <w:autoRedefine/>
    <w:qFormat/>
    <w:uiPriority w:val="0"/>
    <w:pPr>
      <w:numPr>
        <w:ilvl w:val="2"/>
      </w:numPr>
      <w:autoSpaceDN w:val="0"/>
      <w:spacing w:beforeLines="50" w:afterLines="50"/>
      <w:outlineLvl w:val="2"/>
    </w:pPr>
  </w:style>
  <w:style w:type="paragraph" w:customStyle="1" w:styleId="101">
    <w:name w:val="附录一级无"/>
    <w:basedOn w:val="100"/>
    <w:autoRedefine/>
    <w:qFormat/>
    <w:uiPriority w:val="0"/>
    <w:pPr>
      <w:tabs>
        <w:tab w:val="clear" w:pos="360"/>
      </w:tabs>
      <w:spacing w:beforeLines="0" w:afterLines="0"/>
    </w:pPr>
    <w:rPr>
      <w:rFonts w:ascii="宋体" w:eastAsia="宋体"/>
      <w:szCs w:val="21"/>
    </w:rPr>
  </w:style>
  <w:style w:type="paragraph" w:customStyle="1" w:styleId="102">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103">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4">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标准标志"/>
    <w:basedOn w:val="63"/>
    <w:autoRedefine/>
    <w:qFormat/>
    <w:uiPriority w:val="0"/>
    <w:pPr>
      <w:framePr w:w="6101" w:wrap="around" w:vAnchor="page" w:hAnchor="page" w:x="4673" w:y="942"/>
    </w:pPr>
    <w:rPr>
      <w:w w:val="130"/>
    </w:rPr>
  </w:style>
  <w:style w:type="paragraph" w:customStyle="1" w:styleId="107">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71"/>
    <w:autoRedefine/>
    <w:qFormat/>
    <w:uiPriority w:val="0"/>
    <w:pPr>
      <w:framePr w:wrap="around" w:y="15310"/>
      <w:spacing w:line="0" w:lineRule="atLeast"/>
    </w:pPr>
    <w:rPr>
      <w:rFonts w:ascii="黑体" w:eastAsia="黑体"/>
      <w:b w:val="0"/>
    </w:rPr>
  </w:style>
  <w:style w:type="paragraph" w:customStyle="1" w:styleId="109">
    <w:name w:val="前言、引言标题"/>
    <w:next w:val="2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8"/>
    <w:autoRedefine/>
    <w:qFormat/>
    <w:uiPriority w:val="0"/>
    <w:pPr>
      <w:spacing w:beforeLines="0" w:afterLines="0"/>
    </w:pPr>
    <w:rPr>
      <w:rFonts w:ascii="宋体" w:eastAsia="宋体"/>
    </w:rPr>
  </w:style>
  <w:style w:type="paragraph" w:customStyle="1" w:styleId="111">
    <w:name w:val="实施日期"/>
    <w:basedOn w:val="72"/>
    <w:autoRedefine/>
    <w:qFormat/>
    <w:uiPriority w:val="0"/>
    <w:pPr>
      <w:framePr w:wrap="around" w:vAnchor="page" w:hAnchor="text"/>
      <w:jc w:val="right"/>
    </w:pPr>
  </w:style>
  <w:style w:type="paragraph" w:customStyle="1" w:styleId="112">
    <w:name w:val="示例后文字"/>
    <w:basedOn w:val="22"/>
    <w:next w:val="22"/>
    <w:autoRedefine/>
    <w:qFormat/>
    <w:uiPriority w:val="0"/>
    <w:pPr>
      <w:ind w:firstLine="360"/>
    </w:pPr>
    <w:rPr>
      <w:sz w:val="18"/>
    </w:rPr>
  </w:style>
  <w:style w:type="paragraph" w:customStyle="1" w:styleId="113">
    <w:name w:val="首示例"/>
    <w:next w:val="22"/>
    <w:link w:val="114"/>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4">
    <w:name w:val="首示例 Char"/>
    <w:basedOn w:val="32"/>
    <w:link w:val="113"/>
    <w:autoRedefine/>
    <w:qFormat/>
    <w:uiPriority w:val="0"/>
    <w:rPr>
      <w:rFonts w:ascii="宋体" w:hAnsi="宋体"/>
      <w:kern w:val="2"/>
      <w:sz w:val="18"/>
      <w:szCs w:val="18"/>
      <w:lang w:val="en-US" w:eastAsia="zh-CN" w:bidi="ar-SA"/>
    </w:rPr>
  </w:style>
  <w:style w:type="paragraph" w:customStyle="1" w:styleId="115">
    <w:name w:val="四级无"/>
    <w:basedOn w:val="52"/>
    <w:autoRedefine/>
    <w:qFormat/>
    <w:uiPriority w:val="0"/>
    <w:pPr>
      <w:spacing w:beforeLines="0" w:afterLines="0"/>
    </w:pPr>
    <w:rPr>
      <w:rFonts w:ascii="宋体" w:eastAsia="宋体"/>
    </w:rPr>
  </w:style>
  <w:style w:type="paragraph" w:customStyle="1" w:styleId="116">
    <w:name w:val="条文脚注"/>
    <w:basedOn w:val="23"/>
    <w:autoRedefine/>
    <w:qFormat/>
    <w:uiPriority w:val="0"/>
    <w:pPr>
      <w:numPr>
        <w:numId w:val="0"/>
      </w:numPr>
      <w:tabs>
        <w:tab w:val="clear" w:pos="0"/>
      </w:tabs>
      <w:jc w:val="both"/>
    </w:pPr>
  </w:style>
  <w:style w:type="paragraph" w:customStyle="1" w:styleId="117">
    <w:name w:val="图标脚注说明"/>
    <w:basedOn w:val="22"/>
    <w:autoRedefine/>
    <w:qFormat/>
    <w:uiPriority w:val="0"/>
    <w:pPr>
      <w:ind w:left="840" w:hanging="420" w:firstLineChars="0"/>
    </w:pPr>
    <w:rPr>
      <w:sz w:val="18"/>
      <w:szCs w:val="18"/>
    </w:rPr>
  </w:style>
  <w:style w:type="paragraph" w:customStyle="1" w:styleId="118">
    <w:name w:val="图表脚注说明"/>
    <w:basedOn w:val="1"/>
    <w:autoRedefine/>
    <w:qFormat/>
    <w:uiPriority w:val="0"/>
    <w:pPr>
      <w:numPr>
        <w:ilvl w:val="0"/>
        <w:numId w:val="15"/>
      </w:numPr>
    </w:pPr>
    <w:rPr>
      <w:rFonts w:ascii="宋体"/>
      <w:sz w:val="18"/>
      <w:szCs w:val="18"/>
    </w:rPr>
  </w:style>
  <w:style w:type="paragraph" w:customStyle="1" w:styleId="119">
    <w:name w:val="图的脚注"/>
    <w:next w:val="22"/>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53"/>
    <w:autoRedefine/>
    <w:qFormat/>
    <w:uiPriority w:val="0"/>
    <w:pPr>
      <w:spacing w:beforeLines="0" w:afterLines="0"/>
    </w:pPr>
    <w:rPr>
      <w:rFonts w:ascii="宋体" w:eastAsia="宋体"/>
    </w:rPr>
  </w:style>
  <w:style w:type="paragraph" w:customStyle="1" w:styleId="122">
    <w:name w:val="一级无"/>
    <w:basedOn w:val="39"/>
    <w:autoRedefine/>
    <w:qFormat/>
    <w:uiPriority w:val="0"/>
    <w:pPr>
      <w:spacing w:beforeLines="0" w:afterLines="0"/>
    </w:pPr>
    <w:rPr>
      <w:rFonts w:ascii="宋体" w:eastAsia="宋体"/>
    </w:rPr>
  </w:style>
  <w:style w:type="paragraph" w:customStyle="1" w:styleId="123">
    <w:name w:val="正文表标题"/>
    <w:next w:val="22"/>
    <w:autoRedefine/>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2"/>
    <w:next w:val="22"/>
    <w:autoRedefine/>
    <w:qFormat/>
    <w:uiPriority w:val="0"/>
    <w:pPr>
      <w:ind w:firstLine="0" w:firstLineChars="0"/>
    </w:pPr>
  </w:style>
  <w:style w:type="paragraph" w:customStyle="1" w:styleId="125">
    <w:name w:val="正文图标题"/>
    <w:next w:val="22"/>
    <w:autoRedefine/>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终结线"/>
    <w:basedOn w:val="1"/>
    <w:autoRedefine/>
    <w:qFormat/>
    <w:uiPriority w:val="0"/>
    <w:pPr>
      <w:framePr w:hSpace="181" w:vSpace="181" w:wrap="around" w:vAnchor="text" w:hAnchor="margin" w:xAlign="center" w:y="285"/>
    </w:pPr>
  </w:style>
  <w:style w:type="paragraph" w:customStyle="1" w:styleId="127">
    <w:name w:val="其他发布日期"/>
    <w:basedOn w:val="72"/>
    <w:autoRedefine/>
    <w:qFormat/>
    <w:uiPriority w:val="0"/>
    <w:pPr>
      <w:framePr w:wrap="around" w:vAnchor="page" w:hAnchor="text" w:x="1419"/>
    </w:pPr>
  </w:style>
  <w:style w:type="paragraph" w:customStyle="1" w:styleId="128">
    <w:name w:val="其他实施日期"/>
    <w:basedOn w:val="111"/>
    <w:autoRedefine/>
    <w:qFormat/>
    <w:uiPriority w:val="0"/>
    <w:pPr>
      <w:framePr w:wrap="around"/>
    </w:pPr>
  </w:style>
  <w:style w:type="paragraph" w:customStyle="1" w:styleId="129">
    <w:name w:val="封面标准名称2"/>
    <w:basedOn w:val="75"/>
    <w:autoRedefine/>
    <w:qFormat/>
    <w:uiPriority w:val="0"/>
    <w:pPr>
      <w:framePr w:wrap="around" w:y="4469"/>
      <w:spacing w:beforeLines="630"/>
    </w:pPr>
  </w:style>
  <w:style w:type="paragraph" w:customStyle="1" w:styleId="130">
    <w:name w:val="封面标准英文名称2"/>
    <w:basedOn w:val="76"/>
    <w:autoRedefine/>
    <w:qFormat/>
    <w:uiPriority w:val="0"/>
    <w:pPr>
      <w:framePr w:wrap="around" w:y="4469"/>
    </w:pPr>
  </w:style>
  <w:style w:type="paragraph" w:customStyle="1" w:styleId="131">
    <w:name w:val="封面一致性程度标识2"/>
    <w:basedOn w:val="77"/>
    <w:autoRedefine/>
    <w:qFormat/>
    <w:uiPriority w:val="0"/>
    <w:pPr>
      <w:framePr w:wrap="around" w:y="4469"/>
    </w:pPr>
  </w:style>
  <w:style w:type="paragraph" w:customStyle="1" w:styleId="132">
    <w:name w:val="封面标准文稿类别2"/>
    <w:basedOn w:val="78"/>
    <w:autoRedefine/>
    <w:qFormat/>
    <w:uiPriority w:val="0"/>
    <w:pPr>
      <w:framePr w:wrap="around" w:y="4469"/>
    </w:pPr>
  </w:style>
  <w:style w:type="paragraph" w:customStyle="1" w:styleId="133">
    <w:name w:val="封面标准文稿编辑信息2"/>
    <w:basedOn w:val="79"/>
    <w:autoRedefine/>
    <w:qFormat/>
    <w:uiPriority w:val="0"/>
    <w:pPr>
      <w:framePr w:wrap="around" w:y="4469"/>
    </w:pPr>
  </w:style>
  <w:style w:type="character" w:customStyle="1" w:styleId="134">
    <w:name w:val="批注框文本 Char"/>
    <w:basedOn w:val="32"/>
    <w:link w:val="15"/>
    <w:autoRedefine/>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a&#26032;\&#24066;&#26631;&#20934;&#21270;&#30740;&#31350;&#39033;&#30446;\2022&#24180;\&#12298;&#21152;&#24378;&#19996;&#33694;&#24066;&#31038;&#20250;&#32452;&#32455;&#35802;&#20449;&#33258;&#24459;&#24314;&#35774;&#26631;&#20934;&#20307;&#31995;&#19987;&#39033;&#30740;&#31350;&#12299;\&#22242;&#26631;\&#12298;&#31038;&#20250;&#32452;&#32455;&#35802;&#20449;&#31649;&#29702;&#35268;&#33539;&#12299;&#65288;&#36865;&#23457;&#31295;&#65289;7.1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《社会组织诚信管理规范》（送审稿）7.13</Template>
  <Pages>24</Pages>
  <Words>4938</Words>
  <Characters>5315</Characters>
  <Lines>30</Lines>
  <Paragraphs>8</Paragraphs>
  <TotalTime>0</TotalTime>
  <ScaleCrop>false</ScaleCrop>
  <LinksUpToDate>false</LinksUpToDate>
  <CharactersWithSpaces>5452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2023-07-13T08:50:00Z</dcterms:created>
  <cp:lastPrinted>2024-03-12T07:54:00Z</cp:lastPrinted>
  <dcterms:modified xsi:type="dcterms:W3CDTF">2025-02-28T03:23:23Z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8645E061A8F14C3389A52D5B16F0957B_13</vt:lpwstr>
  </property>
  <property fmtid="{D5CDD505-2E9C-101B-9397-08002B2CF9AE}" pid="4" name="KSOTemplateDocerSaveRecord">
    <vt:lpwstr>eyJoZGlkIjoiNzc4OTc0Y2EyNThiYTlhMmY4ODlkYWZmNTMzY2UyMWUiLCJ1c2VySWQiOiIxODQwNjkzNSJ9</vt:lpwstr>
  </property>
</Properties>
</file>